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578" w:rsidRDefault="008C3363" w:rsidP="00B35CF5">
      <w:pPr>
        <w:spacing w:after="0" w:line="240" w:lineRule="auto"/>
        <w:jc w:val="center"/>
        <w:rPr>
          <w:b/>
          <w:color w:val="auto"/>
          <w:sz w:val="23"/>
          <w:szCs w:val="23"/>
        </w:rPr>
      </w:pPr>
      <w:r w:rsidRPr="008C3363">
        <w:rPr>
          <w:b/>
          <w:color w:val="auto"/>
          <w:sz w:val="23"/>
          <w:szCs w:val="23"/>
        </w:rPr>
        <w:t>EXECUTIVE SUMMARY</w:t>
      </w:r>
    </w:p>
    <w:p w:rsidR="00B35CF5" w:rsidRDefault="00B35CF5" w:rsidP="00B35CF5">
      <w:pPr>
        <w:spacing w:after="0" w:line="240" w:lineRule="auto"/>
        <w:jc w:val="both"/>
        <w:rPr>
          <w:b/>
          <w:color w:val="auto"/>
        </w:rPr>
      </w:pPr>
    </w:p>
    <w:p w:rsidR="00B35CF5" w:rsidRDefault="00B35CF5" w:rsidP="00B35CF5">
      <w:pPr>
        <w:spacing w:after="0" w:line="240" w:lineRule="auto"/>
        <w:jc w:val="both"/>
        <w:rPr>
          <w:b/>
          <w:color w:val="auto"/>
        </w:rPr>
      </w:pPr>
    </w:p>
    <w:p w:rsidR="008C3363" w:rsidRDefault="008C3363" w:rsidP="00B35CF5">
      <w:pPr>
        <w:spacing w:after="0" w:line="240" w:lineRule="auto"/>
        <w:jc w:val="both"/>
        <w:rPr>
          <w:b/>
          <w:color w:val="auto"/>
        </w:rPr>
      </w:pPr>
      <w:r w:rsidRPr="00427E2B">
        <w:rPr>
          <w:b/>
          <w:color w:val="auto"/>
        </w:rPr>
        <w:t>INTRODUCTION</w:t>
      </w:r>
    </w:p>
    <w:p w:rsidR="00FB6225" w:rsidRPr="00427E2B" w:rsidRDefault="00FB6225" w:rsidP="00B35CF5">
      <w:pPr>
        <w:spacing w:after="0" w:line="240" w:lineRule="auto"/>
        <w:jc w:val="both"/>
        <w:rPr>
          <w:b/>
          <w:color w:val="auto"/>
        </w:rPr>
      </w:pPr>
    </w:p>
    <w:p w:rsidR="00BB198D" w:rsidRDefault="008C3363" w:rsidP="00B35CF5">
      <w:pPr>
        <w:spacing w:after="0" w:line="240" w:lineRule="auto"/>
        <w:jc w:val="both"/>
        <w:rPr>
          <w:rFonts w:eastAsia="Calibri"/>
          <w:color w:val="auto"/>
        </w:rPr>
      </w:pPr>
      <w:r w:rsidRPr="008C3363">
        <w:rPr>
          <w:rFonts w:eastAsia="Calibri"/>
          <w:color w:val="auto"/>
        </w:rPr>
        <w:t xml:space="preserve">The National Tobacco Administration (NTA) </w:t>
      </w:r>
      <w:r>
        <w:rPr>
          <w:color w:val="auto"/>
        </w:rPr>
        <w:t>with business address at Scout Reyes</w:t>
      </w:r>
      <w:r w:rsidR="00357976">
        <w:rPr>
          <w:color w:val="auto"/>
        </w:rPr>
        <w:t>,</w:t>
      </w:r>
      <w:r>
        <w:rPr>
          <w:color w:val="auto"/>
        </w:rPr>
        <w:t xml:space="preserve"> corner Panay Avenue, Quezon City </w:t>
      </w:r>
      <w:r w:rsidRPr="008C3363">
        <w:rPr>
          <w:rFonts w:eastAsia="Calibri"/>
          <w:color w:val="auto"/>
        </w:rPr>
        <w:t>is a</w:t>
      </w:r>
      <w:r>
        <w:rPr>
          <w:color w:val="auto"/>
        </w:rPr>
        <w:t xml:space="preserve">n attached agency of the Department of Agriculture (DA). It is </w:t>
      </w:r>
      <w:r w:rsidRPr="008C3363">
        <w:rPr>
          <w:rFonts w:eastAsia="Calibri"/>
          <w:color w:val="auto"/>
        </w:rPr>
        <w:t>created under Executive Order (EO) No. 116 dated January 30, 1987, which was implemented by EO No. 245 dated July 24, 1987.  Under EO No. 245, seven tobacco agencies were merged to the NTA</w:t>
      </w:r>
      <w:r w:rsidR="00357976">
        <w:rPr>
          <w:rFonts w:eastAsia="Calibri"/>
          <w:color w:val="auto"/>
        </w:rPr>
        <w:t xml:space="preserve">, namely, Philippine </w:t>
      </w:r>
      <w:r w:rsidR="0067728A">
        <w:rPr>
          <w:rFonts w:eastAsia="Calibri"/>
          <w:color w:val="auto"/>
        </w:rPr>
        <w:t xml:space="preserve">Tobacco Administration (PTA); </w:t>
      </w:r>
      <w:r w:rsidR="00357976">
        <w:rPr>
          <w:rFonts w:eastAsia="Calibri"/>
          <w:color w:val="auto"/>
        </w:rPr>
        <w:t xml:space="preserve">Philippine Virginia Tobacco Administration (PVTA); Philippine Virginia Tobacco Board (PVTB); </w:t>
      </w:r>
      <w:r w:rsidR="0067728A">
        <w:rPr>
          <w:rFonts w:eastAsia="Calibri"/>
          <w:color w:val="auto"/>
        </w:rPr>
        <w:t xml:space="preserve">Philippine Tobacco Research and Training Center (PTRTC); Virginia Tobacco Fuel Wood Corporation (VITOFCO); Virginia Flue-Curing Board (VFCB); and National Tobacco Classification Council (NTCC). </w:t>
      </w:r>
    </w:p>
    <w:p w:rsidR="00BB198D" w:rsidRDefault="00BB198D" w:rsidP="00B35CF5">
      <w:pPr>
        <w:spacing w:after="0" w:line="240" w:lineRule="auto"/>
        <w:jc w:val="both"/>
        <w:rPr>
          <w:rFonts w:eastAsia="Calibri"/>
          <w:color w:val="auto"/>
        </w:rPr>
      </w:pPr>
    </w:p>
    <w:p w:rsidR="00357976" w:rsidRDefault="00BB198D" w:rsidP="00B35CF5">
      <w:pPr>
        <w:spacing w:after="0" w:line="240" w:lineRule="auto"/>
        <w:jc w:val="both"/>
        <w:rPr>
          <w:rFonts w:eastAsia="Calibri"/>
          <w:color w:val="auto"/>
        </w:rPr>
      </w:pPr>
      <w:r>
        <w:rPr>
          <w:rFonts w:eastAsia="Calibri"/>
          <w:color w:val="auto"/>
        </w:rPr>
        <w:t xml:space="preserve">NTA has eight Branch Offices, five of which are located </w:t>
      </w:r>
      <w:r w:rsidR="00723D30">
        <w:rPr>
          <w:rFonts w:eastAsia="Calibri"/>
          <w:color w:val="auto"/>
        </w:rPr>
        <w:t>in Region I, two in Region II, and one in the Cordillera Administrative Region (CAR).</w:t>
      </w:r>
    </w:p>
    <w:p w:rsidR="00357976" w:rsidRDefault="00357976" w:rsidP="008C3363">
      <w:pPr>
        <w:spacing w:after="0" w:line="240" w:lineRule="auto"/>
        <w:jc w:val="both"/>
        <w:rPr>
          <w:rFonts w:eastAsia="Calibri"/>
          <w:color w:val="auto"/>
        </w:rPr>
      </w:pPr>
    </w:p>
    <w:p w:rsidR="008C3363" w:rsidRDefault="008C3363" w:rsidP="008C3363">
      <w:pPr>
        <w:spacing w:after="0" w:line="240" w:lineRule="auto"/>
        <w:jc w:val="both"/>
        <w:rPr>
          <w:color w:val="auto"/>
        </w:rPr>
      </w:pPr>
      <w:r w:rsidRPr="008C3363">
        <w:rPr>
          <w:rFonts w:eastAsia="Calibri"/>
          <w:color w:val="auto"/>
        </w:rPr>
        <w:t>The Administration is mandated to: (a) improve the economic and living conditions and raise the quality of life of the tobacco farmers including those who depend upon the industry for their livelihood; and (b) promote the balanced and integrated growth and development of the industry and help make agriculture a solid base for massive industrialization. NTA also administers and regulates the tobacco industry of the Philippines.</w:t>
      </w:r>
    </w:p>
    <w:p w:rsidR="008C3363" w:rsidRDefault="008C3363" w:rsidP="008C3363">
      <w:pPr>
        <w:spacing w:after="0" w:line="240" w:lineRule="auto"/>
        <w:jc w:val="both"/>
        <w:rPr>
          <w:color w:val="auto"/>
        </w:rPr>
      </w:pPr>
    </w:p>
    <w:p w:rsidR="008E588A" w:rsidRDefault="008E588A" w:rsidP="008C3363">
      <w:pPr>
        <w:spacing w:after="0" w:line="240" w:lineRule="auto"/>
        <w:jc w:val="both"/>
        <w:rPr>
          <w:color w:val="auto"/>
        </w:rPr>
      </w:pPr>
    </w:p>
    <w:p w:rsidR="008C3363" w:rsidRDefault="008C3363" w:rsidP="008C3363">
      <w:pPr>
        <w:spacing w:after="0" w:line="240" w:lineRule="auto"/>
        <w:jc w:val="both"/>
        <w:rPr>
          <w:b/>
          <w:color w:val="auto"/>
        </w:rPr>
      </w:pPr>
      <w:r>
        <w:rPr>
          <w:b/>
          <w:color w:val="auto"/>
        </w:rPr>
        <w:t>FINANCIAL HI</w:t>
      </w:r>
      <w:r w:rsidRPr="008C3363">
        <w:rPr>
          <w:b/>
          <w:color w:val="auto"/>
        </w:rPr>
        <w:t>GHLIGHTS</w:t>
      </w:r>
      <w:r>
        <w:rPr>
          <w:b/>
          <w:color w:val="auto"/>
        </w:rPr>
        <w:t xml:space="preserve"> (In </w:t>
      </w:r>
      <w:r w:rsidR="008E588A">
        <w:rPr>
          <w:b/>
          <w:color w:val="auto"/>
        </w:rPr>
        <w:t>Million P</w:t>
      </w:r>
      <w:r>
        <w:rPr>
          <w:b/>
          <w:color w:val="auto"/>
        </w:rPr>
        <w:t>esos)</w:t>
      </w:r>
    </w:p>
    <w:p w:rsidR="00BA5AF0" w:rsidRDefault="00BA5AF0" w:rsidP="008C3363">
      <w:pPr>
        <w:spacing w:after="0" w:line="240" w:lineRule="auto"/>
        <w:jc w:val="both"/>
        <w:rPr>
          <w:b/>
          <w:color w:val="auto"/>
        </w:rPr>
      </w:pPr>
    </w:p>
    <w:p w:rsidR="00BA5AF0" w:rsidRPr="00F236AF" w:rsidRDefault="00BA5AF0" w:rsidP="008E588A">
      <w:pPr>
        <w:tabs>
          <w:tab w:val="left" w:pos="540"/>
        </w:tabs>
        <w:spacing w:after="0" w:line="240" w:lineRule="auto"/>
        <w:jc w:val="both"/>
        <w:rPr>
          <w:b/>
          <w:color w:val="auto"/>
          <w:sz w:val="20"/>
          <w:szCs w:val="20"/>
        </w:rPr>
      </w:pPr>
      <w:r w:rsidRPr="00F236AF">
        <w:rPr>
          <w:b/>
          <w:color w:val="auto"/>
          <w:sz w:val="20"/>
          <w:szCs w:val="20"/>
        </w:rPr>
        <w:t xml:space="preserve">I. </w:t>
      </w:r>
      <w:r w:rsidR="002D1FE5" w:rsidRPr="00F236AF">
        <w:rPr>
          <w:b/>
          <w:color w:val="auto"/>
          <w:sz w:val="20"/>
          <w:szCs w:val="20"/>
        </w:rPr>
        <w:tab/>
      </w:r>
      <w:r w:rsidRPr="00F236AF">
        <w:rPr>
          <w:b/>
          <w:color w:val="auto"/>
          <w:sz w:val="20"/>
          <w:szCs w:val="20"/>
        </w:rPr>
        <w:t>Comparative Financial Position</w:t>
      </w:r>
    </w:p>
    <w:p w:rsidR="00BA5AF0" w:rsidRPr="00F236AF" w:rsidRDefault="00BA5AF0" w:rsidP="008C3363">
      <w:pPr>
        <w:spacing w:after="0" w:line="240" w:lineRule="auto"/>
        <w:jc w:val="both"/>
        <w:rPr>
          <w:rFonts w:eastAsia="Calibri"/>
          <w:b/>
          <w:color w:val="auto"/>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440"/>
        <w:gridCol w:w="1170"/>
        <w:gridCol w:w="1350"/>
      </w:tblGrid>
      <w:tr w:rsidR="002D1FE5" w:rsidTr="002D1FE5">
        <w:tc>
          <w:tcPr>
            <w:tcW w:w="4680" w:type="dxa"/>
            <w:tcBorders>
              <w:top w:val="single" w:sz="4" w:space="0" w:color="auto"/>
              <w:bottom w:val="single" w:sz="4" w:space="0" w:color="auto"/>
            </w:tcBorders>
          </w:tcPr>
          <w:p w:rsidR="008C3363" w:rsidRPr="00F236AF" w:rsidRDefault="008C3363" w:rsidP="008C3363">
            <w:pPr>
              <w:jc w:val="both"/>
              <w:rPr>
                <w:b/>
                <w:color w:val="auto"/>
                <w:sz w:val="19"/>
                <w:szCs w:val="19"/>
              </w:rPr>
            </w:pPr>
          </w:p>
        </w:tc>
        <w:tc>
          <w:tcPr>
            <w:tcW w:w="1440" w:type="dxa"/>
            <w:tcBorders>
              <w:top w:val="single" w:sz="4" w:space="0" w:color="auto"/>
              <w:bottom w:val="single" w:sz="4" w:space="0" w:color="auto"/>
            </w:tcBorders>
            <w:vAlign w:val="bottom"/>
          </w:tcPr>
          <w:p w:rsidR="008C3363" w:rsidRPr="00F236AF" w:rsidRDefault="00BA5AF0" w:rsidP="0073612E">
            <w:pPr>
              <w:jc w:val="right"/>
              <w:rPr>
                <w:b/>
                <w:color w:val="auto"/>
                <w:sz w:val="19"/>
                <w:szCs w:val="19"/>
              </w:rPr>
            </w:pPr>
            <w:r w:rsidRPr="00F236AF">
              <w:rPr>
                <w:b/>
                <w:color w:val="auto"/>
                <w:sz w:val="19"/>
                <w:szCs w:val="19"/>
              </w:rPr>
              <w:t>201</w:t>
            </w:r>
            <w:r w:rsidR="00806229">
              <w:rPr>
                <w:b/>
                <w:color w:val="auto"/>
                <w:sz w:val="19"/>
                <w:szCs w:val="19"/>
              </w:rPr>
              <w:t>6</w:t>
            </w:r>
          </w:p>
        </w:tc>
        <w:tc>
          <w:tcPr>
            <w:tcW w:w="1170" w:type="dxa"/>
            <w:tcBorders>
              <w:top w:val="single" w:sz="4" w:space="0" w:color="auto"/>
              <w:bottom w:val="single" w:sz="4" w:space="0" w:color="auto"/>
            </w:tcBorders>
            <w:vAlign w:val="bottom"/>
          </w:tcPr>
          <w:p w:rsidR="008C3363" w:rsidRPr="00F236AF" w:rsidRDefault="008C3363" w:rsidP="00D96EC8">
            <w:pPr>
              <w:ind w:right="-50"/>
              <w:jc w:val="right"/>
              <w:rPr>
                <w:b/>
                <w:color w:val="auto"/>
                <w:sz w:val="19"/>
                <w:szCs w:val="19"/>
              </w:rPr>
            </w:pPr>
            <w:r w:rsidRPr="00F236AF">
              <w:rPr>
                <w:b/>
                <w:color w:val="auto"/>
                <w:sz w:val="19"/>
                <w:szCs w:val="19"/>
              </w:rPr>
              <w:t>201</w:t>
            </w:r>
            <w:r w:rsidR="00806229">
              <w:rPr>
                <w:b/>
                <w:color w:val="auto"/>
                <w:sz w:val="19"/>
                <w:szCs w:val="19"/>
              </w:rPr>
              <w:t>5</w:t>
            </w:r>
          </w:p>
        </w:tc>
        <w:tc>
          <w:tcPr>
            <w:tcW w:w="1350" w:type="dxa"/>
            <w:tcBorders>
              <w:top w:val="single" w:sz="4" w:space="0" w:color="auto"/>
              <w:bottom w:val="single" w:sz="4" w:space="0" w:color="auto"/>
            </w:tcBorders>
            <w:vAlign w:val="bottom"/>
          </w:tcPr>
          <w:p w:rsidR="00BA5AF0" w:rsidRPr="00F236AF" w:rsidRDefault="008C3363" w:rsidP="00BA5AF0">
            <w:pPr>
              <w:ind w:right="-108"/>
              <w:jc w:val="right"/>
              <w:rPr>
                <w:b/>
                <w:color w:val="auto"/>
                <w:sz w:val="19"/>
                <w:szCs w:val="19"/>
              </w:rPr>
            </w:pPr>
            <w:r w:rsidRPr="00F236AF">
              <w:rPr>
                <w:b/>
                <w:color w:val="auto"/>
                <w:sz w:val="19"/>
                <w:szCs w:val="19"/>
              </w:rPr>
              <w:t>Increase</w:t>
            </w:r>
          </w:p>
          <w:p w:rsidR="008C3363" w:rsidRPr="00F236AF" w:rsidRDefault="008C3363" w:rsidP="00BA5AF0">
            <w:pPr>
              <w:ind w:right="-108"/>
              <w:jc w:val="right"/>
              <w:rPr>
                <w:b/>
                <w:color w:val="auto"/>
                <w:sz w:val="19"/>
                <w:szCs w:val="19"/>
              </w:rPr>
            </w:pPr>
            <w:r w:rsidRPr="00F236AF">
              <w:rPr>
                <w:b/>
                <w:color w:val="auto"/>
                <w:sz w:val="19"/>
                <w:szCs w:val="19"/>
              </w:rPr>
              <w:t>(Decrease)</w:t>
            </w:r>
          </w:p>
        </w:tc>
      </w:tr>
      <w:tr w:rsidR="00806229" w:rsidTr="002D1FE5">
        <w:tc>
          <w:tcPr>
            <w:tcW w:w="4680" w:type="dxa"/>
            <w:tcBorders>
              <w:top w:val="single" w:sz="4" w:space="0" w:color="auto"/>
            </w:tcBorders>
            <w:vAlign w:val="bottom"/>
          </w:tcPr>
          <w:p w:rsidR="00806229" w:rsidRPr="00F236AF" w:rsidRDefault="00806229" w:rsidP="00806229">
            <w:pPr>
              <w:ind w:left="-108"/>
              <w:rPr>
                <w:color w:val="auto"/>
                <w:sz w:val="19"/>
                <w:szCs w:val="19"/>
              </w:rPr>
            </w:pPr>
            <w:r w:rsidRPr="00F236AF">
              <w:rPr>
                <w:color w:val="auto"/>
                <w:sz w:val="19"/>
                <w:szCs w:val="19"/>
              </w:rPr>
              <w:t>Total assets</w:t>
            </w:r>
          </w:p>
        </w:tc>
        <w:tc>
          <w:tcPr>
            <w:tcW w:w="1440" w:type="dxa"/>
            <w:tcBorders>
              <w:top w:val="single" w:sz="4" w:space="0" w:color="auto"/>
            </w:tcBorders>
            <w:vAlign w:val="bottom"/>
          </w:tcPr>
          <w:p w:rsidR="00806229" w:rsidRPr="00F236AF" w:rsidRDefault="00DE1E5B" w:rsidP="00806229">
            <w:pPr>
              <w:jc w:val="right"/>
              <w:rPr>
                <w:color w:val="auto"/>
                <w:sz w:val="19"/>
                <w:szCs w:val="19"/>
              </w:rPr>
            </w:pPr>
            <w:r>
              <w:rPr>
                <w:color w:val="auto"/>
                <w:sz w:val="19"/>
                <w:szCs w:val="19"/>
              </w:rPr>
              <w:t>1,496.</w:t>
            </w:r>
            <w:r w:rsidR="00806229">
              <w:rPr>
                <w:color w:val="auto"/>
                <w:sz w:val="19"/>
                <w:szCs w:val="19"/>
              </w:rPr>
              <w:t>416</w:t>
            </w:r>
          </w:p>
        </w:tc>
        <w:tc>
          <w:tcPr>
            <w:tcW w:w="1170" w:type="dxa"/>
            <w:tcBorders>
              <w:top w:val="single" w:sz="4" w:space="0" w:color="auto"/>
            </w:tcBorders>
            <w:vAlign w:val="bottom"/>
          </w:tcPr>
          <w:p w:rsidR="00806229" w:rsidRPr="00F236AF" w:rsidRDefault="00806229" w:rsidP="00D96EC8">
            <w:pPr>
              <w:ind w:right="-50"/>
              <w:jc w:val="right"/>
              <w:rPr>
                <w:color w:val="auto"/>
                <w:sz w:val="19"/>
                <w:szCs w:val="19"/>
              </w:rPr>
            </w:pPr>
            <w:r>
              <w:rPr>
                <w:color w:val="auto"/>
                <w:sz w:val="19"/>
                <w:szCs w:val="19"/>
              </w:rPr>
              <w:t>1,543.50</w:t>
            </w:r>
            <w:r w:rsidRPr="00F236AF">
              <w:rPr>
                <w:color w:val="auto"/>
                <w:sz w:val="19"/>
                <w:szCs w:val="19"/>
              </w:rPr>
              <w:t>6</w:t>
            </w:r>
          </w:p>
        </w:tc>
        <w:tc>
          <w:tcPr>
            <w:tcW w:w="1350" w:type="dxa"/>
            <w:tcBorders>
              <w:top w:val="single" w:sz="4" w:space="0" w:color="auto"/>
            </w:tcBorders>
            <w:vAlign w:val="bottom"/>
          </w:tcPr>
          <w:p w:rsidR="00806229" w:rsidRPr="00F236AF" w:rsidRDefault="00806229" w:rsidP="00806229">
            <w:pPr>
              <w:ind w:right="-108"/>
              <w:jc w:val="right"/>
              <w:rPr>
                <w:color w:val="auto"/>
                <w:sz w:val="19"/>
                <w:szCs w:val="19"/>
              </w:rPr>
            </w:pPr>
            <w:r w:rsidRPr="00F236AF">
              <w:rPr>
                <w:color w:val="auto"/>
                <w:sz w:val="19"/>
                <w:szCs w:val="19"/>
              </w:rPr>
              <w:t>(</w:t>
            </w:r>
            <w:r w:rsidR="00DE1E5B">
              <w:rPr>
                <w:color w:val="auto"/>
                <w:sz w:val="19"/>
                <w:szCs w:val="19"/>
              </w:rPr>
              <w:t>47.09</w:t>
            </w:r>
            <w:r w:rsidRPr="00F236AF">
              <w:rPr>
                <w:color w:val="auto"/>
                <w:sz w:val="19"/>
                <w:szCs w:val="19"/>
              </w:rPr>
              <w:t>)</w:t>
            </w:r>
          </w:p>
        </w:tc>
      </w:tr>
      <w:tr w:rsidR="00806229" w:rsidTr="002D1FE5">
        <w:tc>
          <w:tcPr>
            <w:tcW w:w="4680" w:type="dxa"/>
            <w:vAlign w:val="bottom"/>
          </w:tcPr>
          <w:p w:rsidR="00806229" w:rsidRPr="00F236AF" w:rsidRDefault="00806229" w:rsidP="00806229">
            <w:pPr>
              <w:ind w:left="-108"/>
              <w:rPr>
                <w:color w:val="auto"/>
                <w:sz w:val="19"/>
                <w:szCs w:val="19"/>
              </w:rPr>
            </w:pPr>
            <w:r w:rsidRPr="00F236AF">
              <w:rPr>
                <w:color w:val="auto"/>
                <w:sz w:val="19"/>
                <w:szCs w:val="19"/>
              </w:rPr>
              <w:t>Total liabilities</w:t>
            </w:r>
          </w:p>
        </w:tc>
        <w:tc>
          <w:tcPr>
            <w:tcW w:w="1440" w:type="dxa"/>
            <w:vAlign w:val="bottom"/>
          </w:tcPr>
          <w:p w:rsidR="00806229" w:rsidRPr="00F236AF" w:rsidRDefault="00DE1E5B" w:rsidP="00806229">
            <w:pPr>
              <w:jc w:val="right"/>
              <w:rPr>
                <w:color w:val="auto"/>
                <w:sz w:val="19"/>
                <w:szCs w:val="19"/>
              </w:rPr>
            </w:pPr>
            <w:r>
              <w:rPr>
                <w:color w:val="auto"/>
                <w:sz w:val="19"/>
                <w:szCs w:val="19"/>
              </w:rPr>
              <w:t>198.</w:t>
            </w:r>
            <w:r w:rsidR="00806229">
              <w:rPr>
                <w:color w:val="auto"/>
                <w:sz w:val="19"/>
                <w:szCs w:val="19"/>
              </w:rPr>
              <w:t>719</w:t>
            </w:r>
          </w:p>
        </w:tc>
        <w:tc>
          <w:tcPr>
            <w:tcW w:w="1170" w:type="dxa"/>
            <w:vAlign w:val="bottom"/>
          </w:tcPr>
          <w:p w:rsidR="00806229" w:rsidRPr="00F236AF" w:rsidRDefault="00DE1E5B" w:rsidP="00D96EC8">
            <w:pPr>
              <w:ind w:right="-50"/>
              <w:jc w:val="right"/>
              <w:rPr>
                <w:color w:val="auto"/>
                <w:sz w:val="19"/>
                <w:szCs w:val="19"/>
              </w:rPr>
            </w:pPr>
            <w:r>
              <w:rPr>
                <w:color w:val="auto"/>
                <w:sz w:val="19"/>
                <w:szCs w:val="19"/>
              </w:rPr>
              <w:t>145.</w:t>
            </w:r>
            <w:r w:rsidR="00806229">
              <w:rPr>
                <w:color w:val="auto"/>
                <w:sz w:val="19"/>
                <w:szCs w:val="19"/>
              </w:rPr>
              <w:t>545</w:t>
            </w:r>
          </w:p>
        </w:tc>
        <w:tc>
          <w:tcPr>
            <w:tcW w:w="1350" w:type="dxa"/>
            <w:vAlign w:val="bottom"/>
          </w:tcPr>
          <w:p w:rsidR="00806229" w:rsidRPr="00F236AF" w:rsidRDefault="00DE1E5B" w:rsidP="00806229">
            <w:pPr>
              <w:ind w:right="-108"/>
              <w:jc w:val="right"/>
              <w:rPr>
                <w:color w:val="auto"/>
                <w:sz w:val="19"/>
                <w:szCs w:val="19"/>
              </w:rPr>
            </w:pPr>
            <w:r>
              <w:rPr>
                <w:color w:val="auto"/>
                <w:sz w:val="19"/>
                <w:szCs w:val="19"/>
              </w:rPr>
              <w:t>53.174</w:t>
            </w:r>
          </w:p>
        </w:tc>
      </w:tr>
      <w:tr w:rsidR="00806229" w:rsidTr="002D1FE5">
        <w:tc>
          <w:tcPr>
            <w:tcW w:w="4680" w:type="dxa"/>
            <w:tcBorders>
              <w:bottom w:val="double" w:sz="4" w:space="0" w:color="auto"/>
            </w:tcBorders>
            <w:vAlign w:val="bottom"/>
          </w:tcPr>
          <w:p w:rsidR="00806229" w:rsidRPr="00F236AF" w:rsidRDefault="00806229" w:rsidP="00806229">
            <w:pPr>
              <w:ind w:left="-108"/>
              <w:rPr>
                <w:color w:val="auto"/>
                <w:sz w:val="19"/>
                <w:szCs w:val="19"/>
              </w:rPr>
            </w:pPr>
            <w:r w:rsidRPr="00F236AF">
              <w:rPr>
                <w:color w:val="auto"/>
                <w:sz w:val="19"/>
                <w:szCs w:val="19"/>
              </w:rPr>
              <w:t>Net worth</w:t>
            </w:r>
          </w:p>
        </w:tc>
        <w:tc>
          <w:tcPr>
            <w:tcW w:w="1440" w:type="dxa"/>
            <w:tcBorders>
              <w:bottom w:val="double" w:sz="4" w:space="0" w:color="auto"/>
            </w:tcBorders>
            <w:vAlign w:val="bottom"/>
          </w:tcPr>
          <w:p w:rsidR="00806229" w:rsidRPr="00F236AF" w:rsidRDefault="00DE1E5B" w:rsidP="00806229">
            <w:pPr>
              <w:jc w:val="right"/>
              <w:rPr>
                <w:color w:val="auto"/>
                <w:sz w:val="19"/>
                <w:szCs w:val="19"/>
              </w:rPr>
            </w:pPr>
            <w:r>
              <w:rPr>
                <w:color w:val="auto"/>
                <w:sz w:val="19"/>
                <w:szCs w:val="19"/>
              </w:rPr>
              <w:t>1,297.</w:t>
            </w:r>
            <w:r w:rsidR="008900F5">
              <w:rPr>
                <w:color w:val="auto"/>
                <w:sz w:val="19"/>
                <w:szCs w:val="19"/>
              </w:rPr>
              <w:t>697</w:t>
            </w:r>
          </w:p>
        </w:tc>
        <w:tc>
          <w:tcPr>
            <w:tcW w:w="1170" w:type="dxa"/>
            <w:tcBorders>
              <w:bottom w:val="double" w:sz="4" w:space="0" w:color="auto"/>
            </w:tcBorders>
            <w:vAlign w:val="bottom"/>
          </w:tcPr>
          <w:p w:rsidR="00806229" w:rsidRPr="00F236AF" w:rsidRDefault="00806229" w:rsidP="00D96EC8">
            <w:pPr>
              <w:ind w:right="-50"/>
              <w:jc w:val="right"/>
              <w:rPr>
                <w:color w:val="auto"/>
                <w:sz w:val="19"/>
                <w:szCs w:val="19"/>
              </w:rPr>
            </w:pPr>
            <w:r w:rsidRPr="00F236AF">
              <w:rPr>
                <w:color w:val="auto"/>
                <w:sz w:val="19"/>
                <w:szCs w:val="19"/>
              </w:rPr>
              <w:t>1,</w:t>
            </w:r>
            <w:r w:rsidR="0060151A">
              <w:rPr>
                <w:color w:val="auto"/>
                <w:sz w:val="19"/>
                <w:szCs w:val="19"/>
              </w:rPr>
              <w:t>3</w:t>
            </w:r>
            <w:r w:rsidR="00DE1E5B">
              <w:rPr>
                <w:color w:val="auto"/>
                <w:sz w:val="19"/>
                <w:szCs w:val="19"/>
              </w:rPr>
              <w:t>97.</w:t>
            </w:r>
            <w:r w:rsidR="0060151A">
              <w:rPr>
                <w:color w:val="auto"/>
                <w:sz w:val="19"/>
                <w:szCs w:val="19"/>
              </w:rPr>
              <w:t>961</w:t>
            </w:r>
          </w:p>
        </w:tc>
        <w:tc>
          <w:tcPr>
            <w:tcW w:w="1350" w:type="dxa"/>
            <w:tcBorders>
              <w:bottom w:val="double" w:sz="4" w:space="0" w:color="auto"/>
            </w:tcBorders>
            <w:vAlign w:val="bottom"/>
          </w:tcPr>
          <w:p w:rsidR="00806229" w:rsidRPr="00F236AF" w:rsidRDefault="00806229" w:rsidP="00806229">
            <w:pPr>
              <w:ind w:right="-108"/>
              <w:jc w:val="right"/>
              <w:rPr>
                <w:color w:val="auto"/>
                <w:sz w:val="19"/>
                <w:szCs w:val="19"/>
              </w:rPr>
            </w:pPr>
            <w:r w:rsidRPr="00F236AF">
              <w:rPr>
                <w:color w:val="auto"/>
                <w:sz w:val="19"/>
                <w:szCs w:val="19"/>
              </w:rPr>
              <w:t>(</w:t>
            </w:r>
            <w:r w:rsidR="00DE1E5B">
              <w:rPr>
                <w:color w:val="auto"/>
                <w:sz w:val="19"/>
                <w:szCs w:val="19"/>
              </w:rPr>
              <w:t>100.264</w:t>
            </w:r>
            <w:r w:rsidRPr="00F236AF">
              <w:rPr>
                <w:color w:val="auto"/>
                <w:sz w:val="19"/>
                <w:szCs w:val="19"/>
              </w:rPr>
              <w:t>)</w:t>
            </w:r>
          </w:p>
        </w:tc>
      </w:tr>
    </w:tbl>
    <w:p w:rsidR="00B35CF5" w:rsidRPr="00B35CF5" w:rsidRDefault="00B35CF5" w:rsidP="00B35CF5">
      <w:pPr>
        <w:tabs>
          <w:tab w:val="left" w:pos="540"/>
        </w:tabs>
        <w:spacing w:after="0" w:line="240" w:lineRule="auto"/>
        <w:jc w:val="both"/>
        <w:rPr>
          <w:b/>
          <w:color w:val="auto"/>
        </w:rPr>
      </w:pPr>
    </w:p>
    <w:p w:rsidR="00BA5AF0" w:rsidRPr="00F236AF" w:rsidRDefault="00BA5AF0" w:rsidP="008E588A">
      <w:pPr>
        <w:tabs>
          <w:tab w:val="left" w:pos="540"/>
        </w:tabs>
        <w:jc w:val="both"/>
        <w:rPr>
          <w:b/>
          <w:color w:val="auto"/>
          <w:sz w:val="20"/>
          <w:szCs w:val="20"/>
        </w:rPr>
      </w:pPr>
      <w:r w:rsidRPr="00F236AF">
        <w:rPr>
          <w:b/>
          <w:color w:val="auto"/>
          <w:sz w:val="20"/>
          <w:szCs w:val="20"/>
        </w:rPr>
        <w:t xml:space="preserve">II. </w:t>
      </w:r>
      <w:r w:rsidR="002D1FE5" w:rsidRPr="00F236AF">
        <w:rPr>
          <w:b/>
          <w:color w:val="auto"/>
          <w:sz w:val="20"/>
          <w:szCs w:val="20"/>
        </w:rPr>
        <w:tab/>
      </w:r>
      <w:r w:rsidRPr="00F236AF">
        <w:rPr>
          <w:b/>
          <w:color w:val="auto"/>
          <w:sz w:val="20"/>
          <w:szCs w:val="20"/>
        </w:rPr>
        <w:t xml:space="preserve">Comparative </w:t>
      </w:r>
      <w:r w:rsidR="007F3D7E">
        <w:rPr>
          <w:b/>
          <w:color w:val="auto"/>
          <w:sz w:val="20"/>
          <w:szCs w:val="20"/>
        </w:rPr>
        <w:t>Financial Performance</w:t>
      </w:r>
    </w:p>
    <w:tbl>
      <w:tblPr>
        <w:tblStyle w:val="TableGrid"/>
        <w:tblW w:w="85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440"/>
        <w:gridCol w:w="1110"/>
        <w:gridCol w:w="1320"/>
      </w:tblGrid>
      <w:tr w:rsidR="00BA5AF0" w:rsidRPr="00BA5AF0" w:rsidTr="00D96EC8">
        <w:tc>
          <w:tcPr>
            <w:tcW w:w="4680" w:type="dxa"/>
            <w:tcBorders>
              <w:top w:val="single" w:sz="4" w:space="0" w:color="auto"/>
              <w:bottom w:val="single" w:sz="4" w:space="0" w:color="auto"/>
            </w:tcBorders>
          </w:tcPr>
          <w:p w:rsidR="00BA5AF0" w:rsidRPr="00F236AF" w:rsidRDefault="00BA5AF0" w:rsidP="00617C83">
            <w:pPr>
              <w:jc w:val="both"/>
              <w:rPr>
                <w:b/>
                <w:color w:val="auto"/>
                <w:sz w:val="19"/>
                <w:szCs w:val="19"/>
              </w:rPr>
            </w:pPr>
          </w:p>
        </w:tc>
        <w:tc>
          <w:tcPr>
            <w:tcW w:w="1440" w:type="dxa"/>
            <w:tcBorders>
              <w:top w:val="single" w:sz="4" w:space="0" w:color="auto"/>
              <w:bottom w:val="single" w:sz="4" w:space="0" w:color="auto"/>
            </w:tcBorders>
            <w:vAlign w:val="bottom"/>
          </w:tcPr>
          <w:p w:rsidR="00BA5AF0" w:rsidRPr="00F236AF" w:rsidRDefault="00BA5AF0" w:rsidP="00B35CF5">
            <w:pPr>
              <w:tabs>
                <w:tab w:val="left" w:pos="1242"/>
              </w:tabs>
              <w:ind w:right="-18"/>
              <w:jc w:val="right"/>
              <w:rPr>
                <w:b/>
                <w:color w:val="auto"/>
                <w:sz w:val="19"/>
                <w:szCs w:val="19"/>
              </w:rPr>
            </w:pPr>
            <w:r w:rsidRPr="00F236AF">
              <w:rPr>
                <w:b/>
                <w:color w:val="auto"/>
                <w:sz w:val="19"/>
                <w:szCs w:val="19"/>
              </w:rPr>
              <w:t>201</w:t>
            </w:r>
            <w:r w:rsidR="00DE1E5B">
              <w:rPr>
                <w:b/>
                <w:color w:val="auto"/>
                <w:sz w:val="19"/>
                <w:szCs w:val="19"/>
              </w:rPr>
              <w:t>6</w:t>
            </w:r>
          </w:p>
        </w:tc>
        <w:tc>
          <w:tcPr>
            <w:tcW w:w="1110" w:type="dxa"/>
            <w:tcBorders>
              <w:top w:val="single" w:sz="4" w:space="0" w:color="auto"/>
              <w:bottom w:val="single" w:sz="4" w:space="0" w:color="auto"/>
            </w:tcBorders>
            <w:vAlign w:val="bottom"/>
          </w:tcPr>
          <w:p w:rsidR="00BA5AF0" w:rsidRPr="00F236AF" w:rsidRDefault="00BA5AF0" w:rsidP="00D96EC8">
            <w:pPr>
              <w:ind w:right="-108"/>
              <w:jc w:val="right"/>
              <w:rPr>
                <w:b/>
                <w:color w:val="auto"/>
                <w:sz w:val="19"/>
                <w:szCs w:val="19"/>
              </w:rPr>
            </w:pPr>
            <w:r w:rsidRPr="00F236AF">
              <w:rPr>
                <w:b/>
                <w:color w:val="auto"/>
                <w:sz w:val="19"/>
                <w:szCs w:val="19"/>
              </w:rPr>
              <w:t>201</w:t>
            </w:r>
            <w:r w:rsidR="00DE1E5B">
              <w:rPr>
                <w:b/>
                <w:color w:val="auto"/>
                <w:sz w:val="19"/>
                <w:szCs w:val="19"/>
              </w:rPr>
              <w:t>5</w:t>
            </w:r>
          </w:p>
        </w:tc>
        <w:tc>
          <w:tcPr>
            <w:tcW w:w="1320" w:type="dxa"/>
            <w:tcBorders>
              <w:top w:val="single" w:sz="4" w:space="0" w:color="auto"/>
              <w:bottom w:val="single" w:sz="4" w:space="0" w:color="auto"/>
            </w:tcBorders>
            <w:vAlign w:val="bottom"/>
          </w:tcPr>
          <w:p w:rsidR="00BA5AF0" w:rsidRPr="00F236AF" w:rsidRDefault="00BA5AF0" w:rsidP="003A389F">
            <w:pPr>
              <w:ind w:right="-108"/>
              <w:jc w:val="right"/>
              <w:rPr>
                <w:b/>
                <w:color w:val="auto"/>
                <w:sz w:val="19"/>
                <w:szCs w:val="19"/>
              </w:rPr>
            </w:pPr>
            <w:r w:rsidRPr="00F236AF">
              <w:rPr>
                <w:b/>
                <w:color w:val="auto"/>
                <w:sz w:val="19"/>
                <w:szCs w:val="19"/>
              </w:rPr>
              <w:t>Increase</w:t>
            </w:r>
          </w:p>
          <w:p w:rsidR="00BA5AF0" w:rsidRPr="00F236AF" w:rsidRDefault="00BA5AF0" w:rsidP="003A389F">
            <w:pPr>
              <w:ind w:right="-108"/>
              <w:jc w:val="right"/>
              <w:rPr>
                <w:b/>
                <w:color w:val="auto"/>
                <w:sz w:val="19"/>
                <w:szCs w:val="19"/>
              </w:rPr>
            </w:pPr>
            <w:r w:rsidRPr="00F236AF">
              <w:rPr>
                <w:b/>
                <w:color w:val="auto"/>
                <w:sz w:val="19"/>
                <w:szCs w:val="19"/>
              </w:rPr>
              <w:t>(Decrease)</w:t>
            </w:r>
          </w:p>
        </w:tc>
      </w:tr>
      <w:tr w:rsidR="00B35CF5" w:rsidRPr="008C3363" w:rsidTr="00D96EC8">
        <w:tc>
          <w:tcPr>
            <w:tcW w:w="4680" w:type="dxa"/>
            <w:tcBorders>
              <w:top w:val="single" w:sz="4" w:space="0" w:color="auto"/>
            </w:tcBorders>
            <w:vAlign w:val="bottom"/>
          </w:tcPr>
          <w:p w:rsidR="00B35CF5" w:rsidRPr="00F236AF" w:rsidRDefault="00B35CF5" w:rsidP="00617C83">
            <w:pPr>
              <w:ind w:left="-108"/>
              <w:rPr>
                <w:color w:val="auto"/>
                <w:sz w:val="19"/>
                <w:szCs w:val="19"/>
              </w:rPr>
            </w:pPr>
            <w:r w:rsidRPr="00F236AF">
              <w:rPr>
                <w:color w:val="auto"/>
                <w:sz w:val="19"/>
                <w:szCs w:val="19"/>
              </w:rPr>
              <w:t>Total revenues</w:t>
            </w:r>
          </w:p>
        </w:tc>
        <w:tc>
          <w:tcPr>
            <w:tcW w:w="1440" w:type="dxa"/>
            <w:tcBorders>
              <w:top w:val="single" w:sz="4" w:space="0" w:color="auto"/>
            </w:tcBorders>
            <w:vAlign w:val="bottom"/>
          </w:tcPr>
          <w:p w:rsidR="00B35CF5" w:rsidRPr="00F236AF" w:rsidRDefault="00207D52" w:rsidP="001262E8">
            <w:pPr>
              <w:tabs>
                <w:tab w:val="left" w:pos="1242"/>
              </w:tabs>
              <w:ind w:right="-18"/>
              <w:jc w:val="right"/>
              <w:rPr>
                <w:color w:val="auto"/>
                <w:sz w:val="19"/>
                <w:szCs w:val="19"/>
              </w:rPr>
            </w:pPr>
            <w:r>
              <w:rPr>
                <w:color w:val="auto"/>
                <w:sz w:val="19"/>
                <w:szCs w:val="19"/>
              </w:rPr>
              <w:t>138.945</w:t>
            </w:r>
          </w:p>
        </w:tc>
        <w:tc>
          <w:tcPr>
            <w:tcW w:w="1110" w:type="dxa"/>
            <w:tcBorders>
              <w:top w:val="single" w:sz="4" w:space="0" w:color="auto"/>
            </w:tcBorders>
            <w:vAlign w:val="bottom"/>
          </w:tcPr>
          <w:p w:rsidR="00B35CF5" w:rsidRPr="00F236AF" w:rsidRDefault="00207D52" w:rsidP="00E61DEE">
            <w:pPr>
              <w:tabs>
                <w:tab w:val="left" w:pos="1242"/>
              </w:tabs>
              <w:ind w:right="-108"/>
              <w:jc w:val="right"/>
              <w:rPr>
                <w:color w:val="auto"/>
                <w:sz w:val="19"/>
                <w:szCs w:val="19"/>
              </w:rPr>
            </w:pPr>
            <w:r>
              <w:rPr>
                <w:color w:val="auto"/>
                <w:sz w:val="19"/>
                <w:szCs w:val="19"/>
              </w:rPr>
              <w:t>138.137</w:t>
            </w:r>
          </w:p>
        </w:tc>
        <w:tc>
          <w:tcPr>
            <w:tcW w:w="1320" w:type="dxa"/>
            <w:tcBorders>
              <w:top w:val="single" w:sz="4" w:space="0" w:color="auto"/>
            </w:tcBorders>
            <w:vAlign w:val="bottom"/>
          </w:tcPr>
          <w:p w:rsidR="00B35CF5" w:rsidRPr="00F236AF" w:rsidRDefault="00D1502C" w:rsidP="00E61DEE">
            <w:pPr>
              <w:ind w:right="-108"/>
              <w:jc w:val="right"/>
              <w:rPr>
                <w:color w:val="auto"/>
                <w:sz w:val="19"/>
                <w:szCs w:val="19"/>
              </w:rPr>
            </w:pPr>
            <w:r>
              <w:rPr>
                <w:color w:val="auto"/>
                <w:sz w:val="19"/>
                <w:szCs w:val="19"/>
              </w:rPr>
              <w:t>.8</w:t>
            </w:r>
            <w:r w:rsidR="00842972">
              <w:rPr>
                <w:color w:val="auto"/>
                <w:sz w:val="19"/>
                <w:szCs w:val="19"/>
              </w:rPr>
              <w:t>08</w:t>
            </w:r>
          </w:p>
        </w:tc>
      </w:tr>
      <w:tr w:rsidR="00B35CF5" w:rsidRPr="008C3363" w:rsidTr="00D96EC8">
        <w:tc>
          <w:tcPr>
            <w:tcW w:w="4680" w:type="dxa"/>
            <w:vAlign w:val="bottom"/>
          </w:tcPr>
          <w:p w:rsidR="00B35CF5" w:rsidRPr="00F236AF" w:rsidRDefault="00B35CF5" w:rsidP="00733960">
            <w:pPr>
              <w:ind w:left="-108"/>
              <w:rPr>
                <w:color w:val="auto"/>
                <w:sz w:val="19"/>
                <w:szCs w:val="19"/>
              </w:rPr>
            </w:pPr>
            <w:r w:rsidRPr="00F236AF">
              <w:rPr>
                <w:color w:val="auto"/>
                <w:sz w:val="19"/>
                <w:szCs w:val="19"/>
              </w:rPr>
              <w:t xml:space="preserve">Total </w:t>
            </w:r>
            <w:r w:rsidR="0007058D">
              <w:rPr>
                <w:color w:val="auto"/>
                <w:sz w:val="19"/>
                <w:szCs w:val="19"/>
              </w:rPr>
              <w:t>Operating Expenses</w:t>
            </w:r>
          </w:p>
        </w:tc>
        <w:tc>
          <w:tcPr>
            <w:tcW w:w="1440" w:type="dxa"/>
            <w:vAlign w:val="bottom"/>
          </w:tcPr>
          <w:p w:rsidR="00B35CF5" w:rsidRPr="00F236AF" w:rsidRDefault="00207D52" w:rsidP="001262E8">
            <w:pPr>
              <w:tabs>
                <w:tab w:val="left" w:pos="1242"/>
              </w:tabs>
              <w:ind w:right="-18"/>
              <w:jc w:val="right"/>
              <w:rPr>
                <w:color w:val="auto"/>
                <w:sz w:val="19"/>
                <w:szCs w:val="19"/>
              </w:rPr>
            </w:pPr>
            <w:r>
              <w:rPr>
                <w:color w:val="auto"/>
                <w:sz w:val="19"/>
                <w:szCs w:val="19"/>
              </w:rPr>
              <w:t>938.269</w:t>
            </w:r>
          </w:p>
        </w:tc>
        <w:tc>
          <w:tcPr>
            <w:tcW w:w="1110" w:type="dxa"/>
            <w:vAlign w:val="bottom"/>
          </w:tcPr>
          <w:p w:rsidR="00B35CF5" w:rsidRPr="00F236AF" w:rsidRDefault="00207D52" w:rsidP="00B35CF5">
            <w:pPr>
              <w:tabs>
                <w:tab w:val="left" w:pos="1242"/>
              </w:tabs>
              <w:ind w:right="-108"/>
              <w:jc w:val="right"/>
              <w:rPr>
                <w:color w:val="auto"/>
                <w:sz w:val="19"/>
                <w:szCs w:val="19"/>
              </w:rPr>
            </w:pPr>
            <w:r>
              <w:rPr>
                <w:color w:val="auto"/>
                <w:sz w:val="19"/>
                <w:szCs w:val="19"/>
              </w:rPr>
              <w:t>705.60</w:t>
            </w:r>
            <w:r w:rsidR="001E23D6">
              <w:rPr>
                <w:color w:val="auto"/>
                <w:sz w:val="19"/>
                <w:szCs w:val="19"/>
              </w:rPr>
              <w:t>1</w:t>
            </w:r>
          </w:p>
        </w:tc>
        <w:tc>
          <w:tcPr>
            <w:tcW w:w="1320" w:type="dxa"/>
            <w:vAlign w:val="bottom"/>
          </w:tcPr>
          <w:p w:rsidR="00B35CF5" w:rsidRPr="00F236AF" w:rsidRDefault="00F37A12" w:rsidP="00E61DEE">
            <w:pPr>
              <w:ind w:right="-108"/>
              <w:jc w:val="right"/>
              <w:rPr>
                <w:color w:val="auto"/>
                <w:sz w:val="19"/>
                <w:szCs w:val="19"/>
              </w:rPr>
            </w:pPr>
            <w:r>
              <w:rPr>
                <w:color w:val="auto"/>
                <w:sz w:val="19"/>
                <w:szCs w:val="19"/>
              </w:rPr>
              <w:t>232.</w:t>
            </w:r>
            <w:r w:rsidR="001E23D6">
              <w:rPr>
                <w:color w:val="auto"/>
                <w:sz w:val="19"/>
                <w:szCs w:val="19"/>
              </w:rPr>
              <w:t>668</w:t>
            </w:r>
          </w:p>
        </w:tc>
      </w:tr>
      <w:tr w:rsidR="00B35CF5" w:rsidRPr="008C3363" w:rsidTr="00D96EC8">
        <w:tc>
          <w:tcPr>
            <w:tcW w:w="4680" w:type="dxa"/>
            <w:vAlign w:val="bottom"/>
          </w:tcPr>
          <w:p w:rsidR="00B35CF5" w:rsidRPr="00F236AF" w:rsidRDefault="000D477F" w:rsidP="00617C83">
            <w:pPr>
              <w:ind w:left="-108"/>
              <w:rPr>
                <w:color w:val="auto"/>
                <w:sz w:val="19"/>
                <w:szCs w:val="19"/>
              </w:rPr>
            </w:pPr>
            <w:r>
              <w:rPr>
                <w:color w:val="auto"/>
                <w:sz w:val="19"/>
                <w:szCs w:val="19"/>
              </w:rPr>
              <w:t>Deficit from Current Operations</w:t>
            </w:r>
          </w:p>
        </w:tc>
        <w:tc>
          <w:tcPr>
            <w:tcW w:w="1440" w:type="dxa"/>
            <w:vAlign w:val="bottom"/>
          </w:tcPr>
          <w:p w:rsidR="00B35CF5" w:rsidRPr="00F236AF" w:rsidRDefault="00207D52" w:rsidP="001262E8">
            <w:pPr>
              <w:tabs>
                <w:tab w:val="left" w:pos="1242"/>
              </w:tabs>
              <w:ind w:right="-18"/>
              <w:jc w:val="right"/>
              <w:rPr>
                <w:color w:val="auto"/>
                <w:sz w:val="19"/>
                <w:szCs w:val="19"/>
              </w:rPr>
            </w:pPr>
            <w:r>
              <w:rPr>
                <w:color w:val="auto"/>
                <w:sz w:val="19"/>
                <w:szCs w:val="19"/>
              </w:rPr>
              <w:t>799.324</w:t>
            </w:r>
          </w:p>
        </w:tc>
        <w:tc>
          <w:tcPr>
            <w:tcW w:w="1110" w:type="dxa"/>
            <w:vAlign w:val="bottom"/>
          </w:tcPr>
          <w:p w:rsidR="00B35CF5" w:rsidRPr="00F236AF" w:rsidRDefault="00207D52" w:rsidP="00B35CF5">
            <w:pPr>
              <w:tabs>
                <w:tab w:val="left" w:pos="1242"/>
              </w:tabs>
              <w:ind w:right="-108"/>
              <w:jc w:val="right"/>
              <w:rPr>
                <w:color w:val="auto"/>
                <w:sz w:val="19"/>
                <w:szCs w:val="19"/>
              </w:rPr>
            </w:pPr>
            <w:r>
              <w:rPr>
                <w:color w:val="auto"/>
                <w:sz w:val="19"/>
                <w:szCs w:val="19"/>
              </w:rPr>
              <w:t>567.464</w:t>
            </w:r>
          </w:p>
        </w:tc>
        <w:tc>
          <w:tcPr>
            <w:tcW w:w="1320" w:type="dxa"/>
            <w:vAlign w:val="bottom"/>
          </w:tcPr>
          <w:p w:rsidR="00B35CF5" w:rsidRPr="00F236AF" w:rsidRDefault="00824D7C" w:rsidP="003A389F">
            <w:pPr>
              <w:ind w:right="-108"/>
              <w:jc w:val="right"/>
              <w:rPr>
                <w:color w:val="auto"/>
                <w:sz w:val="19"/>
                <w:szCs w:val="19"/>
              </w:rPr>
            </w:pPr>
            <w:r>
              <w:rPr>
                <w:color w:val="auto"/>
                <w:sz w:val="19"/>
                <w:szCs w:val="19"/>
              </w:rPr>
              <w:t>231.8</w:t>
            </w:r>
            <w:r w:rsidR="00842972">
              <w:rPr>
                <w:color w:val="auto"/>
                <w:sz w:val="19"/>
                <w:szCs w:val="19"/>
              </w:rPr>
              <w:t>60</w:t>
            </w:r>
          </w:p>
        </w:tc>
      </w:tr>
      <w:tr w:rsidR="00B35CF5" w:rsidRPr="008C3363" w:rsidTr="00D96EC8">
        <w:tc>
          <w:tcPr>
            <w:tcW w:w="4680" w:type="dxa"/>
            <w:vAlign w:val="bottom"/>
          </w:tcPr>
          <w:p w:rsidR="00B35CF5" w:rsidRPr="00F236AF" w:rsidRDefault="00B35CF5" w:rsidP="00617C83">
            <w:pPr>
              <w:ind w:left="-108"/>
              <w:rPr>
                <w:color w:val="auto"/>
                <w:sz w:val="19"/>
                <w:szCs w:val="19"/>
              </w:rPr>
            </w:pPr>
            <w:r w:rsidRPr="00F236AF">
              <w:rPr>
                <w:color w:val="auto"/>
                <w:sz w:val="19"/>
                <w:szCs w:val="19"/>
              </w:rPr>
              <w:t xml:space="preserve">Subsidy </w:t>
            </w:r>
            <w:r w:rsidR="00AC07CA">
              <w:rPr>
                <w:color w:val="auto"/>
                <w:sz w:val="19"/>
                <w:szCs w:val="19"/>
              </w:rPr>
              <w:t>and Other Income</w:t>
            </w:r>
          </w:p>
        </w:tc>
        <w:tc>
          <w:tcPr>
            <w:tcW w:w="1440" w:type="dxa"/>
            <w:vAlign w:val="bottom"/>
          </w:tcPr>
          <w:p w:rsidR="00B35CF5" w:rsidRPr="00F236AF" w:rsidRDefault="00207D52" w:rsidP="001262E8">
            <w:pPr>
              <w:tabs>
                <w:tab w:val="left" w:pos="1242"/>
              </w:tabs>
              <w:ind w:right="-18"/>
              <w:jc w:val="right"/>
              <w:rPr>
                <w:color w:val="auto"/>
                <w:sz w:val="19"/>
                <w:szCs w:val="19"/>
              </w:rPr>
            </w:pPr>
            <w:r>
              <w:rPr>
                <w:color w:val="auto"/>
                <w:sz w:val="19"/>
                <w:szCs w:val="19"/>
              </w:rPr>
              <w:t>699.059</w:t>
            </w:r>
          </w:p>
        </w:tc>
        <w:tc>
          <w:tcPr>
            <w:tcW w:w="1110" w:type="dxa"/>
            <w:vAlign w:val="bottom"/>
          </w:tcPr>
          <w:p w:rsidR="00B35CF5" w:rsidRPr="00F236AF" w:rsidRDefault="00207D52" w:rsidP="00B35CF5">
            <w:pPr>
              <w:tabs>
                <w:tab w:val="left" w:pos="1242"/>
              </w:tabs>
              <w:ind w:right="-108"/>
              <w:jc w:val="right"/>
              <w:rPr>
                <w:color w:val="auto"/>
                <w:sz w:val="19"/>
                <w:szCs w:val="19"/>
              </w:rPr>
            </w:pPr>
            <w:r>
              <w:rPr>
                <w:color w:val="auto"/>
                <w:sz w:val="19"/>
                <w:szCs w:val="19"/>
              </w:rPr>
              <w:t>496.691</w:t>
            </w:r>
          </w:p>
        </w:tc>
        <w:tc>
          <w:tcPr>
            <w:tcW w:w="1320" w:type="dxa"/>
            <w:vAlign w:val="bottom"/>
          </w:tcPr>
          <w:p w:rsidR="00B35CF5" w:rsidRPr="00F236AF" w:rsidRDefault="00824D7C" w:rsidP="003A389F">
            <w:pPr>
              <w:ind w:right="-108"/>
              <w:jc w:val="right"/>
              <w:rPr>
                <w:color w:val="auto"/>
                <w:sz w:val="19"/>
                <w:szCs w:val="19"/>
              </w:rPr>
            </w:pPr>
            <w:r>
              <w:rPr>
                <w:color w:val="auto"/>
                <w:sz w:val="19"/>
                <w:szCs w:val="19"/>
              </w:rPr>
              <w:t>202.36</w:t>
            </w:r>
            <w:r w:rsidR="00842972">
              <w:rPr>
                <w:color w:val="auto"/>
                <w:sz w:val="19"/>
                <w:szCs w:val="19"/>
              </w:rPr>
              <w:t>8</w:t>
            </w:r>
          </w:p>
        </w:tc>
      </w:tr>
      <w:tr w:rsidR="00B35CF5" w:rsidRPr="008C3363" w:rsidTr="00D96EC8">
        <w:tc>
          <w:tcPr>
            <w:tcW w:w="4680" w:type="dxa"/>
            <w:tcBorders>
              <w:bottom w:val="double" w:sz="4" w:space="0" w:color="auto"/>
            </w:tcBorders>
            <w:vAlign w:val="bottom"/>
          </w:tcPr>
          <w:p w:rsidR="00B35CF5" w:rsidRPr="00F236AF" w:rsidRDefault="00B35CF5" w:rsidP="00617C83">
            <w:pPr>
              <w:ind w:left="-108"/>
              <w:rPr>
                <w:color w:val="auto"/>
                <w:sz w:val="19"/>
                <w:szCs w:val="19"/>
              </w:rPr>
            </w:pPr>
            <w:r w:rsidRPr="00F236AF">
              <w:rPr>
                <w:color w:val="auto"/>
                <w:sz w:val="19"/>
                <w:szCs w:val="19"/>
              </w:rPr>
              <w:t>Net</w:t>
            </w:r>
            <w:r w:rsidR="00207D52">
              <w:rPr>
                <w:color w:val="auto"/>
                <w:sz w:val="19"/>
                <w:szCs w:val="19"/>
              </w:rPr>
              <w:t xml:space="preserve"> </w:t>
            </w:r>
            <w:r w:rsidR="00AC07CA">
              <w:rPr>
                <w:color w:val="auto"/>
                <w:sz w:val="19"/>
                <w:szCs w:val="19"/>
              </w:rPr>
              <w:t>loss</w:t>
            </w:r>
          </w:p>
        </w:tc>
        <w:tc>
          <w:tcPr>
            <w:tcW w:w="1440" w:type="dxa"/>
            <w:tcBorders>
              <w:bottom w:val="double" w:sz="4" w:space="0" w:color="auto"/>
            </w:tcBorders>
            <w:vAlign w:val="bottom"/>
          </w:tcPr>
          <w:p w:rsidR="00B35CF5" w:rsidRPr="00F236AF" w:rsidRDefault="005640E4" w:rsidP="008E719E">
            <w:pPr>
              <w:tabs>
                <w:tab w:val="left" w:pos="1242"/>
              </w:tabs>
              <w:ind w:right="-18"/>
              <w:jc w:val="right"/>
              <w:rPr>
                <w:color w:val="auto"/>
                <w:sz w:val="19"/>
                <w:szCs w:val="19"/>
              </w:rPr>
            </w:pPr>
            <w:r>
              <w:rPr>
                <w:color w:val="auto"/>
                <w:sz w:val="19"/>
                <w:szCs w:val="19"/>
              </w:rPr>
              <w:t>(</w:t>
            </w:r>
            <w:r w:rsidR="00207D52">
              <w:rPr>
                <w:color w:val="auto"/>
                <w:sz w:val="19"/>
                <w:szCs w:val="19"/>
              </w:rPr>
              <w:t>100.265</w:t>
            </w:r>
            <w:r>
              <w:rPr>
                <w:color w:val="auto"/>
                <w:sz w:val="19"/>
                <w:szCs w:val="19"/>
              </w:rPr>
              <w:t>)</w:t>
            </w:r>
          </w:p>
        </w:tc>
        <w:tc>
          <w:tcPr>
            <w:tcW w:w="1110" w:type="dxa"/>
            <w:tcBorders>
              <w:bottom w:val="double" w:sz="4" w:space="0" w:color="auto"/>
            </w:tcBorders>
            <w:vAlign w:val="bottom"/>
          </w:tcPr>
          <w:p w:rsidR="00B35CF5" w:rsidRPr="00F236AF" w:rsidRDefault="005640E4" w:rsidP="00B35CF5">
            <w:pPr>
              <w:tabs>
                <w:tab w:val="left" w:pos="1242"/>
              </w:tabs>
              <w:ind w:right="-108"/>
              <w:jc w:val="right"/>
              <w:rPr>
                <w:color w:val="auto"/>
                <w:sz w:val="19"/>
                <w:szCs w:val="19"/>
              </w:rPr>
            </w:pPr>
            <w:r>
              <w:rPr>
                <w:color w:val="auto"/>
                <w:sz w:val="19"/>
                <w:szCs w:val="19"/>
              </w:rPr>
              <w:t>(</w:t>
            </w:r>
            <w:r w:rsidR="00207D52">
              <w:rPr>
                <w:color w:val="auto"/>
                <w:sz w:val="19"/>
                <w:szCs w:val="19"/>
              </w:rPr>
              <w:t>70.773</w:t>
            </w:r>
            <w:r>
              <w:rPr>
                <w:color w:val="auto"/>
                <w:sz w:val="19"/>
                <w:szCs w:val="19"/>
              </w:rPr>
              <w:t>)</w:t>
            </w:r>
          </w:p>
        </w:tc>
        <w:tc>
          <w:tcPr>
            <w:tcW w:w="1320" w:type="dxa"/>
            <w:tcBorders>
              <w:bottom w:val="double" w:sz="4" w:space="0" w:color="auto"/>
            </w:tcBorders>
            <w:vAlign w:val="bottom"/>
          </w:tcPr>
          <w:p w:rsidR="00B35CF5" w:rsidRPr="00F236AF" w:rsidRDefault="008E719E" w:rsidP="00E61DEE">
            <w:pPr>
              <w:ind w:right="-108"/>
              <w:jc w:val="right"/>
              <w:rPr>
                <w:color w:val="auto"/>
                <w:sz w:val="19"/>
                <w:szCs w:val="19"/>
              </w:rPr>
            </w:pPr>
            <w:r w:rsidRPr="00F236AF">
              <w:rPr>
                <w:color w:val="auto"/>
                <w:sz w:val="19"/>
                <w:szCs w:val="19"/>
              </w:rPr>
              <w:t>(</w:t>
            </w:r>
            <w:r w:rsidR="00842972">
              <w:rPr>
                <w:color w:val="auto"/>
                <w:sz w:val="19"/>
                <w:szCs w:val="19"/>
              </w:rPr>
              <w:t>29.492</w:t>
            </w:r>
            <w:r w:rsidRPr="00F236AF">
              <w:rPr>
                <w:color w:val="auto"/>
                <w:sz w:val="19"/>
                <w:szCs w:val="19"/>
              </w:rPr>
              <w:t>)</w:t>
            </w:r>
          </w:p>
        </w:tc>
      </w:tr>
    </w:tbl>
    <w:p w:rsidR="00BA5AF0" w:rsidRDefault="00BA5AF0" w:rsidP="00B35CF5">
      <w:pPr>
        <w:spacing w:after="0" w:line="240" w:lineRule="auto"/>
        <w:jc w:val="both"/>
        <w:rPr>
          <w:b/>
          <w:color w:val="auto"/>
          <w:sz w:val="23"/>
          <w:szCs w:val="23"/>
        </w:rPr>
      </w:pPr>
    </w:p>
    <w:p w:rsidR="002D1FE5" w:rsidRPr="00F236AF" w:rsidRDefault="002D1FE5" w:rsidP="001262E8">
      <w:pPr>
        <w:tabs>
          <w:tab w:val="left" w:pos="540"/>
        </w:tabs>
        <w:jc w:val="both"/>
        <w:rPr>
          <w:b/>
          <w:color w:val="auto"/>
          <w:sz w:val="20"/>
          <w:szCs w:val="20"/>
        </w:rPr>
      </w:pPr>
      <w:r w:rsidRPr="00F236AF">
        <w:rPr>
          <w:b/>
          <w:color w:val="auto"/>
          <w:sz w:val="20"/>
          <w:szCs w:val="20"/>
        </w:rPr>
        <w:t>III.</w:t>
      </w:r>
      <w:r w:rsidRPr="00F236AF">
        <w:rPr>
          <w:b/>
          <w:color w:val="auto"/>
          <w:sz w:val="20"/>
          <w:szCs w:val="20"/>
        </w:rPr>
        <w:tab/>
        <w:t xml:space="preserve">Budget </w:t>
      </w:r>
      <w:r w:rsidR="005D1D0F" w:rsidRPr="00F236AF">
        <w:rPr>
          <w:b/>
          <w:i/>
          <w:color w:val="auto"/>
          <w:sz w:val="20"/>
          <w:szCs w:val="20"/>
        </w:rPr>
        <w:t>vis-à-vis</w:t>
      </w:r>
      <w:r w:rsidR="00207D52">
        <w:rPr>
          <w:b/>
          <w:i/>
          <w:color w:val="auto"/>
          <w:sz w:val="20"/>
          <w:szCs w:val="20"/>
        </w:rPr>
        <w:t xml:space="preserve"> </w:t>
      </w:r>
      <w:r w:rsidRPr="00F236AF">
        <w:rPr>
          <w:b/>
          <w:color w:val="auto"/>
          <w:sz w:val="20"/>
          <w:szCs w:val="20"/>
        </w:rPr>
        <w:t>Actual Amounts Expended</w:t>
      </w:r>
    </w:p>
    <w:tbl>
      <w:tblPr>
        <w:tblStyle w:val="TableGrid"/>
        <w:tblW w:w="85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350"/>
        <w:gridCol w:w="90"/>
        <w:gridCol w:w="1260"/>
        <w:gridCol w:w="1170"/>
      </w:tblGrid>
      <w:tr w:rsidR="003A389F" w:rsidRPr="00BA5AF0" w:rsidTr="001262E8">
        <w:tc>
          <w:tcPr>
            <w:tcW w:w="4680" w:type="dxa"/>
            <w:tcBorders>
              <w:top w:val="single" w:sz="4" w:space="0" w:color="auto"/>
              <w:bottom w:val="single" w:sz="4" w:space="0" w:color="auto"/>
            </w:tcBorders>
          </w:tcPr>
          <w:p w:rsidR="003A389F" w:rsidRPr="00F236AF" w:rsidRDefault="003A389F" w:rsidP="00617C83">
            <w:pPr>
              <w:jc w:val="both"/>
              <w:rPr>
                <w:b/>
                <w:color w:val="auto"/>
                <w:sz w:val="19"/>
                <w:szCs w:val="19"/>
              </w:rPr>
            </w:pPr>
          </w:p>
        </w:tc>
        <w:tc>
          <w:tcPr>
            <w:tcW w:w="1440" w:type="dxa"/>
            <w:gridSpan w:val="2"/>
            <w:tcBorders>
              <w:top w:val="single" w:sz="4" w:space="0" w:color="auto"/>
              <w:bottom w:val="single" w:sz="4" w:space="0" w:color="auto"/>
            </w:tcBorders>
            <w:vAlign w:val="bottom"/>
          </w:tcPr>
          <w:p w:rsidR="003A389F" w:rsidRPr="00F236AF" w:rsidRDefault="003A389F" w:rsidP="001262E8">
            <w:pPr>
              <w:ind w:right="-18"/>
              <w:jc w:val="right"/>
              <w:rPr>
                <w:b/>
                <w:color w:val="auto"/>
                <w:sz w:val="19"/>
                <w:szCs w:val="19"/>
              </w:rPr>
            </w:pPr>
            <w:r w:rsidRPr="00F236AF">
              <w:rPr>
                <w:b/>
                <w:color w:val="auto"/>
                <w:sz w:val="19"/>
                <w:szCs w:val="19"/>
              </w:rPr>
              <w:t>Budget</w:t>
            </w:r>
          </w:p>
        </w:tc>
        <w:tc>
          <w:tcPr>
            <w:tcW w:w="1260" w:type="dxa"/>
            <w:tcBorders>
              <w:top w:val="single" w:sz="4" w:space="0" w:color="auto"/>
              <w:bottom w:val="single" w:sz="4" w:space="0" w:color="auto"/>
            </w:tcBorders>
            <w:vAlign w:val="bottom"/>
          </w:tcPr>
          <w:p w:rsidR="003A389F" w:rsidRPr="00F236AF" w:rsidRDefault="003A389F" w:rsidP="001262E8">
            <w:pPr>
              <w:ind w:left="72" w:right="-108" w:firstLine="72"/>
              <w:rPr>
                <w:b/>
                <w:color w:val="auto"/>
                <w:sz w:val="19"/>
                <w:szCs w:val="19"/>
              </w:rPr>
            </w:pPr>
            <w:r w:rsidRPr="00F236AF">
              <w:rPr>
                <w:b/>
                <w:color w:val="auto"/>
                <w:sz w:val="19"/>
                <w:szCs w:val="19"/>
              </w:rPr>
              <w:t>Amount Expended</w:t>
            </w:r>
          </w:p>
        </w:tc>
        <w:tc>
          <w:tcPr>
            <w:tcW w:w="1170" w:type="dxa"/>
            <w:tcBorders>
              <w:top w:val="single" w:sz="4" w:space="0" w:color="auto"/>
              <w:bottom w:val="single" w:sz="4" w:space="0" w:color="auto"/>
            </w:tcBorders>
            <w:vAlign w:val="bottom"/>
          </w:tcPr>
          <w:p w:rsidR="003A389F" w:rsidRPr="00F236AF" w:rsidRDefault="003A389F" w:rsidP="003A389F">
            <w:pPr>
              <w:ind w:right="-108"/>
              <w:jc w:val="right"/>
              <w:rPr>
                <w:b/>
                <w:color w:val="auto"/>
                <w:sz w:val="19"/>
                <w:szCs w:val="19"/>
              </w:rPr>
            </w:pPr>
            <w:r w:rsidRPr="00F236AF">
              <w:rPr>
                <w:b/>
                <w:color w:val="auto"/>
                <w:sz w:val="19"/>
                <w:szCs w:val="19"/>
              </w:rPr>
              <w:t>Balance</w:t>
            </w:r>
          </w:p>
        </w:tc>
      </w:tr>
      <w:tr w:rsidR="003A389F" w:rsidRPr="008C3363" w:rsidTr="00D96EC8">
        <w:tc>
          <w:tcPr>
            <w:tcW w:w="4680" w:type="dxa"/>
            <w:tcBorders>
              <w:top w:val="single" w:sz="4" w:space="0" w:color="auto"/>
            </w:tcBorders>
            <w:vAlign w:val="bottom"/>
          </w:tcPr>
          <w:p w:rsidR="003A389F" w:rsidRPr="00F236AF" w:rsidRDefault="003A389F" w:rsidP="00617C83">
            <w:pPr>
              <w:ind w:left="-108"/>
              <w:rPr>
                <w:color w:val="auto"/>
                <w:sz w:val="19"/>
                <w:szCs w:val="19"/>
              </w:rPr>
            </w:pPr>
            <w:r w:rsidRPr="00F236AF">
              <w:rPr>
                <w:color w:val="auto"/>
                <w:sz w:val="19"/>
                <w:szCs w:val="19"/>
              </w:rPr>
              <w:t>Personal services</w:t>
            </w:r>
          </w:p>
        </w:tc>
        <w:tc>
          <w:tcPr>
            <w:tcW w:w="1350" w:type="dxa"/>
            <w:tcBorders>
              <w:top w:val="single" w:sz="4" w:space="0" w:color="auto"/>
            </w:tcBorders>
            <w:vAlign w:val="bottom"/>
          </w:tcPr>
          <w:p w:rsidR="003A389F" w:rsidRPr="00F236AF" w:rsidRDefault="00B87D3E" w:rsidP="001262E8">
            <w:pPr>
              <w:ind w:right="-108"/>
              <w:jc w:val="right"/>
              <w:rPr>
                <w:color w:val="auto"/>
                <w:sz w:val="19"/>
                <w:szCs w:val="19"/>
              </w:rPr>
            </w:pPr>
            <w:r>
              <w:rPr>
                <w:color w:val="auto"/>
                <w:sz w:val="19"/>
                <w:szCs w:val="19"/>
              </w:rPr>
              <w:t>189.842</w:t>
            </w:r>
          </w:p>
        </w:tc>
        <w:tc>
          <w:tcPr>
            <w:tcW w:w="1350" w:type="dxa"/>
            <w:gridSpan w:val="2"/>
            <w:tcBorders>
              <w:top w:val="single" w:sz="4" w:space="0" w:color="auto"/>
            </w:tcBorders>
            <w:vAlign w:val="bottom"/>
          </w:tcPr>
          <w:p w:rsidR="003A389F" w:rsidRPr="00F236AF" w:rsidRDefault="00207D52" w:rsidP="001262E8">
            <w:pPr>
              <w:ind w:right="-18"/>
              <w:jc w:val="right"/>
              <w:rPr>
                <w:color w:val="auto"/>
                <w:sz w:val="19"/>
                <w:szCs w:val="19"/>
              </w:rPr>
            </w:pPr>
            <w:r>
              <w:rPr>
                <w:color w:val="auto"/>
                <w:sz w:val="19"/>
                <w:szCs w:val="19"/>
              </w:rPr>
              <w:t>170.563</w:t>
            </w:r>
          </w:p>
        </w:tc>
        <w:tc>
          <w:tcPr>
            <w:tcW w:w="1170" w:type="dxa"/>
            <w:tcBorders>
              <w:top w:val="single" w:sz="4" w:space="0" w:color="auto"/>
            </w:tcBorders>
            <w:vAlign w:val="bottom"/>
          </w:tcPr>
          <w:p w:rsidR="003A389F" w:rsidRPr="00F236AF" w:rsidRDefault="00B404B3" w:rsidP="003A389F">
            <w:pPr>
              <w:ind w:right="-108"/>
              <w:jc w:val="right"/>
              <w:rPr>
                <w:color w:val="auto"/>
                <w:sz w:val="19"/>
                <w:szCs w:val="19"/>
              </w:rPr>
            </w:pPr>
            <w:r>
              <w:rPr>
                <w:color w:val="auto"/>
                <w:sz w:val="19"/>
                <w:szCs w:val="19"/>
              </w:rPr>
              <w:t>19.279</w:t>
            </w:r>
          </w:p>
        </w:tc>
      </w:tr>
      <w:tr w:rsidR="003A389F" w:rsidRPr="008C3363" w:rsidTr="00D96EC8">
        <w:tc>
          <w:tcPr>
            <w:tcW w:w="4680" w:type="dxa"/>
            <w:vAlign w:val="bottom"/>
          </w:tcPr>
          <w:p w:rsidR="003A389F" w:rsidRPr="00F236AF" w:rsidRDefault="003A389F" w:rsidP="00617C83">
            <w:pPr>
              <w:ind w:left="-108"/>
              <w:rPr>
                <w:color w:val="auto"/>
                <w:sz w:val="19"/>
                <w:szCs w:val="19"/>
              </w:rPr>
            </w:pPr>
            <w:r w:rsidRPr="00F236AF">
              <w:rPr>
                <w:color w:val="auto"/>
                <w:sz w:val="19"/>
                <w:szCs w:val="19"/>
              </w:rPr>
              <w:t>Maintenance and other operating expenses</w:t>
            </w:r>
          </w:p>
        </w:tc>
        <w:tc>
          <w:tcPr>
            <w:tcW w:w="1350" w:type="dxa"/>
            <w:vAlign w:val="bottom"/>
          </w:tcPr>
          <w:p w:rsidR="003A389F" w:rsidRPr="00F236AF" w:rsidRDefault="00207D52" w:rsidP="001262E8">
            <w:pPr>
              <w:ind w:right="-108"/>
              <w:jc w:val="right"/>
              <w:rPr>
                <w:color w:val="auto"/>
                <w:sz w:val="19"/>
                <w:szCs w:val="19"/>
              </w:rPr>
            </w:pPr>
            <w:r>
              <w:rPr>
                <w:color w:val="auto"/>
                <w:sz w:val="19"/>
                <w:szCs w:val="19"/>
              </w:rPr>
              <w:t>787.794</w:t>
            </w:r>
          </w:p>
        </w:tc>
        <w:tc>
          <w:tcPr>
            <w:tcW w:w="1350" w:type="dxa"/>
            <w:gridSpan w:val="2"/>
            <w:vAlign w:val="bottom"/>
          </w:tcPr>
          <w:p w:rsidR="003A389F" w:rsidRPr="00F236AF" w:rsidRDefault="00D96EC8" w:rsidP="00E61DEE">
            <w:pPr>
              <w:ind w:right="-18"/>
              <w:jc w:val="right"/>
              <w:rPr>
                <w:color w:val="auto"/>
                <w:sz w:val="19"/>
                <w:szCs w:val="19"/>
              </w:rPr>
            </w:pPr>
            <w:r>
              <w:rPr>
                <w:color w:val="auto"/>
                <w:sz w:val="19"/>
                <w:szCs w:val="19"/>
              </w:rPr>
              <w:t>659.908</w:t>
            </w:r>
          </w:p>
        </w:tc>
        <w:tc>
          <w:tcPr>
            <w:tcW w:w="1170" w:type="dxa"/>
            <w:vAlign w:val="bottom"/>
          </w:tcPr>
          <w:p w:rsidR="003A389F" w:rsidRPr="00F236AF" w:rsidRDefault="00B404B3" w:rsidP="00E61DEE">
            <w:pPr>
              <w:ind w:right="-108"/>
              <w:jc w:val="right"/>
              <w:rPr>
                <w:color w:val="auto"/>
                <w:sz w:val="19"/>
                <w:szCs w:val="19"/>
              </w:rPr>
            </w:pPr>
            <w:r>
              <w:rPr>
                <w:color w:val="auto"/>
                <w:sz w:val="19"/>
                <w:szCs w:val="19"/>
              </w:rPr>
              <w:t>127.886</w:t>
            </w:r>
          </w:p>
        </w:tc>
      </w:tr>
      <w:tr w:rsidR="003A389F" w:rsidRPr="008C3363" w:rsidTr="00D96EC8">
        <w:tc>
          <w:tcPr>
            <w:tcW w:w="4680" w:type="dxa"/>
            <w:vAlign w:val="bottom"/>
          </w:tcPr>
          <w:p w:rsidR="003A389F" w:rsidRPr="00F236AF" w:rsidRDefault="003A389F" w:rsidP="00617C83">
            <w:pPr>
              <w:ind w:left="-108"/>
              <w:rPr>
                <w:color w:val="auto"/>
                <w:sz w:val="19"/>
                <w:szCs w:val="19"/>
              </w:rPr>
            </w:pPr>
            <w:r w:rsidRPr="00F236AF">
              <w:rPr>
                <w:color w:val="auto"/>
                <w:sz w:val="19"/>
                <w:szCs w:val="19"/>
              </w:rPr>
              <w:t>Investment outlay</w:t>
            </w:r>
          </w:p>
        </w:tc>
        <w:tc>
          <w:tcPr>
            <w:tcW w:w="1350" w:type="dxa"/>
            <w:vAlign w:val="bottom"/>
          </w:tcPr>
          <w:p w:rsidR="003A389F" w:rsidRPr="00F236AF" w:rsidRDefault="00207D52" w:rsidP="001262E8">
            <w:pPr>
              <w:ind w:right="-108"/>
              <w:jc w:val="right"/>
              <w:rPr>
                <w:color w:val="auto"/>
                <w:sz w:val="19"/>
                <w:szCs w:val="19"/>
              </w:rPr>
            </w:pPr>
            <w:r>
              <w:rPr>
                <w:color w:val="auto"/>
                <w:sz w:val="19"/>
                <w:szCs w:val="19"/>
              </w:rPr>
              <w:t>276.193</w:t>
            </w:r>
          </w:p>
        </w:tc>
        <w:tc>
          <w:tcPr>
            <w:tcW w:w="1350" w:type="dxa"/>
            <w:gridSpan w:val="2"/>
            <w:vAlign w:val="bottom"/>
          </w:tcPr>
          <w:p w:rsidR="003A389F" w:rsidRPr="00F236AF" w:rsidRDefault="00D96EC8" w:rsidP="00E61DEE">
            <w:pPr>
              <w:ind w:right="-18"/>
              <w:jc w:val="right"/>
              <w:rPr>
                <w:color w:val="auto"/>
                <w:sz w:val="19"/>
                <w:szCs w:val="19"/>
              </w:rPr>
            </w:pPr>
            <w:r>
              <w:rPr>
                <w:color w:val="auto"/>
                <w:sz w:val="19"/>
                <w:szCs w:val="19"/>
              </w:rPr>
              <w:t>201.969</w:t>
            </w:r>
          </w:p>
        </w:tc>
        <w:tc>
          <w:tcPr>
            <w:tcW w:w="1170" w:type="dxa"/>
            <w:vAlign w:val="bottom"/>
          </w:tcPr>
          <w:p w:rsidR="003A389F" w:rsidRPr="00F236AF" w:rsidRDefault="00B404B3" w:rsidP="00E61DEE">
            <w:pPr>
              <w:ind w:right="-108"/>
              <w:jc w:val="right"/>
              <w:rPr>
                <w:color w:val="auto"/>
                <w:sz w:val="19"/>
                <w:szCs w:val="19"/>
              </w:rPr>
            </w:pPr>
            <w:r>
              <w:rPr>
                <w:color w:val="auto"/>
                <w:sz w:val="19"/>
                <w:szCs w:val="19"/>
              </w:rPr>
              <w:t>74.224</w:t>
            </w:r>
          </w:p>
        </w:tc>
      </w:tr>
      <w:tr w:rsidR="00ED7F8C" w:rsidRPr="008C3363" w:rsidTr="00D96EC8">
        <w:tc>
          <w:tcPr>
            <w:tcW w:w="4680" w:type="dxa"/>
            <w:vAlign w:val="bottom"/>
          </w:tcPr>
          <w:p w:rsidR="00ED7F8C" w:rsidRPr="00F236AF" w:rsidRDefault="00ED7F8C" w:rsidP="00617C83">
            <w:pPr>
              <w:ind w:left="-108"/>
              <w:rPr>
                <w:color w:val="auto"/>
                <w:sz w:val="19"/>
                <w:szCs w:val="19"/>
              </w:rPr>
            </w:pPr>
            <w:r w:rsidRPr="00F236AF">
              <w:rPr>
                <w:color w:val="auto"/>
                <w:sz w:val="19"/>
                <w:szCs w:val="19"/>
              </w:rPr>
              <w:lastRenderedPageBreak/>
              <w:t>Capital outlay</w:t>
            </w:r>
          </w:p>
        </w:tc>
        <w:tc>
          <w:tcPr>
            <w:tcW w:w="1350" w:type="dxa"/>
            <w:vAlign w:val="bottom"/>
          </w:tcPr>
          <w:p w:rsidR="00ED7F8C" w:rsidRPr="00F236AF" w:rsidRDefault="00B87D3E" w:rsidP="001262E8">
            <w:pPr>
              <w:ind w:right="-108"/>
              <w:jc w:val="right"/>
              <w:rPr>
                <w:color w:val="auto"/>
                <w:sz w:val="19"/>
                <w:szCs w:val="19"/>
              </w:rPr>
            </w:pPr>
            <w:r>
              <w:rPr>
                <w:color w:val="auto"/>
                <w:sz w:val="19"/>
                <w:szCs w:val="19"/>
              </w:rPr>
              <w:t>84.297</w:t>
            </w:r>
          </w:p>
        </w:tc>
        <w:tc>
          <w:tcPr>
            <w:tcW w:w="1350" w:type="dxa"/>
            <w:gridSpan w:val="2"/>
            <w:vAlign w:val="bottom"/>
          </w:tcPr>
          <w:p w:rsidR="00ED7F8C" w:rsidRPr="00F236AF" w:rsidRDefault="00B87D3E" w:rsidP="001262E8">
            <w:pPr>
              <w:ind w:right="-18"/>
              <w:jc w:val="right"/>
              <w:rPr>
                <w:color w:val="auto"/>
                <w:sz w:val="19"/>
                <w:szCs w:val="19"/>
              </w:rPr>
            </w:pPr>
            <w:r>
              <w:rPr>
                <w:color w:val="auto"/>
                <w:sz w:val="19"/>
                <w:szCs w:val="19"/>
              </w:rPr>
              <w:t>33.167</w:t>
            </w:r>
          </w:p>
        </w:tc>
        <w:tc>
          <w:tcPr>
            <w:tcW w:w="1170" w:type="dxa"/>
            <w:vAlign w:val="bottom"/>
          </w:tcPr>
          <w:p w:rsidR="00ED7F8C" w:rsidRPr="00F236AF" w:rsidRDefault="00994CBF" w:rsidP="003A389F">
            <w:pPr>
              <w:ind w:right="-108"/>
              <w:jc w:val="right"/>
              <w:rPr>
                <w:color w:val="auto"/>
                <w:sz w:val="19"/>
                <w:szCs w:val="19"/>
              </w:rPr>
            </w:pPr>
            <w:r>
              <w:rPr>
                <w:color w:val="auto"/>
                <w:sz w:val="19"/>
                <w:szCs w:val="19"/>
              </w:rPr>
              <w:t>51.130</w:t>
            </w:r>
          </w:p>
        </w:tc>
      </w:tr>
      <w:tr w:rsidR="007F3D7E" w:rsidRPr="008C3363" w:rsidTr="00D96EC8">
        <w:tc>
          <w:tcPr>
            <w:tcW w:w="4680" w:type="dxa"/>
            <w:vAlign w:val="bottom"/>
          </w:tcPr>
          <w:p w:rsidR="007F3D7E" w:rsidRPr="00F236AF" w:rsidRDefault="007F3D7E" w:rsidP="00617C83">
            <w:pPr>
              <w:ind w:left="-108"/>
              <w:rPr>
                <w:color w:val="auto"/>
                <w:sz w:val="19"/>
                <w:szCs w:val="19"/>
              </w:rPr>
            </w:pPr>
            <w:r>
              <w:rPr>
                <w:color w:val="auto"/>
                <w:sz w:val="19"/>
                <w:szCs w:val="19"/>
              </w:rPr>
              <w:t>Financial Expenses</w:t>
            </w:r>
          </w:p>
        </w:tc>
        <w:tc>
          <w:tcPr>
            <w:tcW w:w="1350" w:type="dxa"/>
            <w:vAlign w:val="bottom"/>
          </w:tcPr>
          <w:p w:rsidR="007F3D7E" w:rsidRDefault="00266EE4" w:rsidP="001262E8">
            <w:pPr>
              <w:ind w:right="-108"/>
              <w:jc w:val="right"/>
              <w:rPr>
                <w:color w:val="auto"/>
                <w:sz w:val="19"/>
                <w:szCs w:val="19"/>
              </w:rPr>
            </w:pPr>
            <w:r>
              <w:rPr>
                <w:color w:val="auto"/>
                <w:sz w:val="19"/>
                <w:szCs w:val="19"/>
              </w:rPr>
              <w:t>.</w:t>
            </w:r>
            <w:r w:rsidR="007F3D7E">
              <w:rPr>
                <w:color w:val="auto"/>
                <w:sz w:val="19"/>
                <w:szCs w:val="19"/>
              </w:rPr>
              <w:t>543</w:t>
            </w:r>
          </w:p>
        </w:tc>
        <w:tc>
          <w:tcPr>
            <w:tcW w:w="1350" w:type="dxa"/>
            <w:gridSpan w:val="2"/>
            <w:vAlign w:val="bottom"/>
          </w:tcPr>
          <w:p w:rsidR="007F3D7E" w:rsidRDefault="00266EE4" w:rsidP="001262E8">
            <w:pPr>
              <w:ind w:right="-18"/>
              <w:jc w:val="right"/>
              <w:rPr>
                <w:color w:val="auto"/>
                <w:sz w:val="19"/>
                <w:szCs w:val="19"/>
              </w:rPr>
            </w:pPr>
            <w:r>
              <w:rPr>
                <w:color w:val="auto"/>
                <w:sz w:val="19"/>
                <w:szCs w:val="19"/>
              </w:rPr>
              <w:t>.</w:t>
            </w:r>
            <w:r w:rsidR="007F3D7E">
              <w:rPr>
                <w:color w:val="auto"/>
                <w:sz w:val="19"/>
                <w:szCs w:val="19"/>
              </w:rPr>
              <w:t>340</w:t>
            </w:r>
          </w:p>
        </w:tc>
        <w:tc>
          <w:tcPr>
            <w:tcW w:w="1170" w:type="dxa"/>
            <w:vAlign w:val="bottom"/>
          </w:tcPr>
          <w:p w:rsidR="007F3D7E" w:rsidRDefault="00266EE4" w:rsidP="003A389F">
            <w:pPr>
              <w:ind w:right="-108"/>
              <w:jc w:val="right"/>
              <w:rPr>
                <w:color w:val="auto"/>
                <w:sz w:val="19"/>
                <w:szCs w:val="19"/>
              </w:rPr>
            </w:pPr>
            <w:r>
              <w:rPr>
                <w:color w:val="auto"/>
                <w:sz w:val="19"/>
                <w:szCs w:val="19"/>
              </w:rPr>
              <w:t>.</w:t>
            </w:r>
            <w:r w:rsidR="007F3D7E">
              <w:rPr>
                <w:color w:val="auto"/>
                <w:sz w:val="19"/>
                <w:szCs w:val="19"/>
              </w:rPr>
              <w:t>203</w:t>
            </w:r>
          </w:p>
        </w:tc>
      </w:tr>
      <w:tr w:rsidR="003A389F" w:rsidRPr="008C3363" w:rsidTr="00D96EC8">
        <w:tc>
          <w:tcPr>
            <w:tcW w:w="4680" w:type="dxa"/>
            <w:tcBorders>
              <w:bottom w:val="single" w:sz="4" w:space="0" w:color="auto"/>
            </w:tcBorders>
            <w:vAlign w:val="bottom"/>
          </w:tcPr>
          <w:p w:rsidR="003A389F" w:rsidRPr="00F236AF" w:rsidRDefault="00ED7F8C" w:rsidP="00617C83">
            <w:pPr>
              <w:ind w:left="-108"/>
              <w:rPr>
                <w:color w:val="auto"/>
                <w:sz w:val="19"/>
                <w:szCs w:val="19"/>
              </w:rPr>
            </w:pPr>
            <w:r w:rsidRPr="00F236AF">
              <w:rPr>
                <w:color w:val="auto"/>
                <w:sz w:val="19"/>
                <w:szCs w:val="19"/>
              </w:rPr>
              <w:t>Accounts payable</w:t>
            </w:r>
          </w:p>
        </w:tc>
        <w:tc>
          <w:tcPr>
            <w:tcW w:w="1350" w:type="dxa"/>
            <w:tcBorders>
              <w:bottom w:val="single" w:sz="4" w:space="0" w:color="auto"/>
            </w:tcBorders>
            <w:vAlign w:val="bottom"/>
          </w:tcPr>
          <w:p w:rsidR="003A389F" w:rsidRPr="00F236AF" w:rsidRDefault="00B87D3E" w:rsidP="001262E8">
            <w:pPr>
              <w:ind w:right="-108"/>
              <w:jc w:val="right"/>
              <w:rPr>
                <w:color w:val="auto"/>
                <w:sz w:val="19"/>
                <w:szCs w:val="19"/>
              </w:rPr>
            </w:pPr>
            <w:r>
              <w:rPr>
                <w:color w:val="auto"/>
                <w:sz w:val="19"/>
                <w:szCs w:val="19"/>
              </w:rPr>
              <w:t>20.000</w:t>
            </w:r>
          </w:p>
        </w:tc>
        <w:tc>
          <w:tcPr>
            <w:tcW w:w="1350" w:type="dxa"/>
            <w:gridSpan w:val="2"/>
            <w:tcBorders>
              <w:bottom w:val="single" w:sz="4" w:space="0" w:color="auto"/>
            </w:tcBorders>
            <w:vAlign w:val="bottom"/>
          </w:tcPr>
          <w:p w:rsidR="003A389F" w:rsidRPr="00F236AF" w:rsidRDefault="00B87D3E" w:rsidP="001262E8">
            <w:pPr>
              <w:ind w:right="-18"/>
              <w:jc w:val="right"/>
              <w:rPr>
                <w:color w:val="auto"/>
                <w:sz w:val="19"/>
                <w:szCs w:val="19"/>
              </w:rPr>
            </w:pPr>
            <w:r>
              <w:rPr>
                <w:color w:val="auto"/>
                <w:sz w:val="19"/>
                <w:szCs w:val="19"/>
              </w:rPr>
              <w:t>6.516</w:t>
            </w:r>
          </w:p>
        </w:tc>
        <w:tc>
          <w:tcPr>
            <w:tcW w:w="1170" w:type="dxa"/>
            <w:tcBorders>
              <w:bottom w:val="single" w:sz="4" w:space="0" w:color="auto"/>
            </w:tcBorders>
            <w:vAlign w:val="bottom"/>
          </w:tcPr>
          <w:p w:rsidR="003A389F" w:rsidRPr="00F236AF" w:rsidRDefault="00994CBF" w:rsidP="003A389F">
            <w:pPr>
              <w:ind w:right="-108"/>
              <w:jc w:val="right"/>
              <w:rPr>
                <w:color w:val="auto"/>
                <w:sz w:val="19"/>
                <w:szCs w:val="19"/>
              </w:rPr>
            </w:pPr>
            <w:r>
              <w:rPr>
                <w:color w:val="auto"/>
                <w:sz w:val="19"/>
                <w:szCs w:val="19"/>
              </w:rPr>
              <w:t>13.484</w:t>
            </w:r>
          </w:p>
        </w:tc>
      </w:tr>
      <w:tr w:rsidR="003A389F" w:rsidRPr="008C3363" w:rsidTr="00D96EC8">
        <w:tc>
          <w:tcPr>
            <w:tcW w:w="4680" w:type="dxa"/>
            <w:tcBorders>
              <w:top w:val="single" w:sz="4" w:space="0" w:color="auto"/>
              <w:bottom w:val="double" w:sz="4" w:space="0" w:color="auto"/>
            </w:tcBorders>
            <w:vAlign w:val="bottom"/>
          </w:tcPr>
          <w:p w:rsidR="003A389F" w:rsidRPr="00F236AF" w:rsidRDefault="003A389F" w:rsidP="00617C83">
            <w:pPr>
              <w:ind w:left="-108"/>
              <w:rPr>
                <w:b/>
                <w:color w:val="auto"/>
                <w:sz w:val="19"/>
                <w:szCs w:val="19"/>
              </w:rPr>
            </w:pPr>
          </w:p>
        </w:tc>
        <w:tc>
          <w:tcPr>
            <w:tcW w:w="1350" w:type="dxa"/>
            <w:tcBorders>
              <w:top w:val="single" w:sz="4" w:space="0" w:color="auto"/>
              <w:bottom w:val="double" w:sz="4" w:space="0" w:color="auto"/>
            </w:tcBorders>
            <w:vAlign w:val="bottom"/>
          </w:tcPr>
          <w:p w:rsidR="003A389F" w:rsidRPr="00F236AF" w:rsidRDefault="00ED7F8C" w:rsidP="001262E8">
            <w:pPr>
              <w:ind w:right="-108"/>
              <w:jc w:val="right"/>
              <w:rPr>
                <w:color w:val="auto"/>
                <w:sz w:val="19"/>
                <w:szCs w:val="19"/>
              </w:rPr>
            </w:pPr>
            <w:r w:rsidRPr="00F236AF">
              <w:rPr>
                <w:color w:val="auto"/>
                <w:sz w:val="19"/>
                <w:szCs w:val="19"/>
              </w:rPr>
              <w:t>1,</w:t>
            </w:r>
            <w:r w:rsidR="00994CBF">
              <w:rPr>
                <w:color w:val="auto"/>
                <w:sz w:val="19"/>
                <w:szCs w:val="19"/>
              </w:rPr>
              <w:t>358.</w:t>
            </w:r>
            <w:r w:rsidR="007F3D7E">
              <w:rPr>
                <w:color w:val="auto"/>
                <w:sz w:val="19"/>
                <w:szCs w:val="19"/>
              </w:rPr>
              <w:t>669</w:t>
            </w:r>
          </w:p>
        </w:tc>
        <w:tc>
          <w:tcPr>
            <w:tcW w:w="1350" w:type="dxa"/>
            <w:gridSpan w:val="2"/>
            <w:tcBorders>
              <w:top w:val="single" w:sz="4" w:space="0" w:color="auto"/>
              <w:bottom w:val="double" w:sz="4" w:space="0" w:color="auto"/>
            </w:tcBorders>
            <w:vAlign w:val="bottom"/>
          </w:tcPr>
          <w:p w:rsidR="003A389F" w:rsidRPr="00F236AF" w:rsidRDefault="00994CBF" w:rsidP="001262E8">
            <w:pPr>
              <w:ind w:right="-18"/>
              <w:jc w:val="right"/>
              <w:rPr>
                <w:color w:val="auto"/>
                <w:sz w:val="19"/>
                <w:szCs w:val="19"/>
              </w:rPr>
            </w:pPr>
            <w:r>
              <w:rPr>
                <w:color w:val="auto"/>
                <w:sz w:val="19"/>
                <w:szCs w:val="19"/>
              </w:rPr>
              <w:t>1,072.</w:t>
            </w:r>
            <w:r w:rsidR="00266EE4">
              <w:rPr>
                <w:color w:val="auto"/>
                <w:sz w:val="19"/>
                <w:szCs w:val="19"/>
              </w:rPr>
              <w:t>463</w:t>
            </w:r>
          </w:p>
        </w:tc>
        <w:tc>
          <w:tcPr>
            <w:tcW w:w="1170" w:type="dxa"/>
            <w:tcBorders>
              <w:top w:val="single" w:sz="4" w:space="0" w:color="auto"/>
              <w:bottom w:val="double" w:sz="4" w:space="0" w:color="auto"/>
            </w:tcBorders>
            <w:vAlign w:val="bottom"/>
          </w:tcPr>
          <w:p w:rsidR="003A389F" w:rsidRPr="00F236AF" w:rsidRDefault="00B404B3" w:rsidP="003A389F">
            <w:pPr>
              <w:ind w:right="-108"/>
              <w:jc w:val="right"/>
              <w:rPr>
                <w:color w:val="auto"/>
                <w:sz w:val="19"/>
                <w:szCs w:val="19"/>
              </w:rPr>
            </w:pPr>
            <w:r>
              <w:rPr>
                <w:color w:val="auto"/>
                <w:sz w:val="19"/>
                <w:szCs w:val="19"/>
              </w:rPr>
              <w:t>286.</w:t>
            </w:r>
            <w:r w:rsidR="007F3D7E">
              <w:rPr>
                <w:color w:val="auto"/>
                <w:sz w:val="19"/>
                <w:szCs w:val="19"/>
              </w:rPr>
              <w:t>20</w:t>
            </w:r>
            <w:r w:rsidR="00036C83">
              <w:rPr>
                <w:color w:val="auto"/>
                <w:sz w:val="19"/>
                <w:szCs w:val="19"/>
              </w:rPr>
              <w:t>6</w:t>
            </w:r>
          </w:p>
        </w:tc>
        <w:bookmarkStart w:id="0" w:name="_GoBack"/>
        <w:bookmarkEnd w:id="0"/>
      </w:tr>
    </w:tbl>
    <w:p w:rsidR="00AF342D" w:rsidRDefault="00AF342D" w:rsidP="00BC0D52">
      <w:pPr>
        <w:spacing w:after="0" w:line="240" w:lineRule="auto"/>
        <w:jc w:val="both"/>
        <w:rPr>
          <w:b/>
          <w:color w:val="auto"/>
        </w:rPr>
      </w:pPr>
    </w:p>
    <w:p w:rsidR="006655A8" w:rsidRDefault="006655A8" w:rsidP="00BC0D52">
      <w:pPr>
        <w:spacing w:after="0" w:line="240" w:lineRule="auto"/>
        <w:jc w:val="both"/>
        <w:rPr>
          <w:b/>
          <w:color w:val="auto"/>
        </w:rPr>
      </w:pPr>
    </w:p>
    <w:p w:rsidR="002D1FE5" w:rsidRDefault="00B35CF5" w:rsidP="00BC0D52">
      <w:pPr>
        <w:spacing w:after="0" w:line="240" w:lineRule="auto"/>
        <w:jc w:val="both"/>
        <w:rPr>
          <w:b/>
          <w:color w:val="auto"/>
        </w:rPr>
      </w:pPr>
      <w:r>
        <w:rPr>
          <w:b/>
          <w:color w:val="auto"/>
        </w:rPr>
        <w:t>S</w:t>
      </w:r>
      <w:r w:rsidR="00DF19C9" w:rsidRPr="003E31E0">
        <w:rPr>
          <w:b/>
          <w:color w:val="auto"/>
        </w:rPr>
        <w:t>COPE OF AUDIT</w:t>
      </w:r>
    </w:p>
    <w:p w:rsidR="00BD28A3" w:rsidRPr="003E31E0" w:rsidRDefault="00BD28A3" w:rsidP="00BC0D52">
      <w:pPr>
        <w:spacing w:after="0" w:line="240" w:lineRule="auto"/>
        <w:jc w:val="both"/>
        <w:rPr>
          <w:b/>
          <w:color w:val="auto"/>
        </w:rPr>
      </w:pPr>
    </w:p>
    <w:p w:rsidR="00DF19C9" w:rsidRDefault="00DF19C9" w:rsidP="00BC0D52">
      <w:pPr>
        <w:spacing w:after="0" w:line="240" w:lineRule="auto"/>
        <w:jc w:val="both"/>
        <w:rPr>
          <w:color w:val="auto"/>
        </w:rPr>
      </w:pPr>
      <w:r w:rsidRPr="003E31E0">
        <w:rPr>
          <w:color w:val="auto"/>
        </w:rPr>
        <w:t xml:space="preserve">Our audit covers the operations of NTA for </w:t>
      </w:r>
      <w:r w:rsidR="00B35CF5">
        <w:rPr>
          <w:color w:val="auto"/>
        </w:rPr>
        <w:t xml:space="preserve">Calendar </w:t>
      </w:r>
      <w:r w:rsidRPr="003E31E0">
        <w:rPr>
          <w:color w:val="auto"/>
        </w:rPr>
        <w:t>Year (CY) 201</w:t>
      </w:r>
      <w:r w:rsidR="00E1573E">
        <w:rPr>
          <w:color w:val="auto"/>
        </w:rPr>
        <w:t>6</w:t>
      </w:r>
      <w:r w:rsidRPr="003E31E0">
        <w:rPr>
          <w:color w:val="auto"/>
        </w:rPr>
        <w:t>.</w:t>
      </w:r>
      <w:r w:rsidR="00427E2B" w:rsidRPr="003E31E0">
        <w:rPr>
          <w:color w:val="auto"/>
        </w:rPr>
        <w:t xml:space="preserve">  Our audit involved performing procedures to obtain audit evidence about the amounts and disclosures in the financial statements.  The procedures selected depend on the auditor’s judgment, including the assessment of the risks of material misstatement of the financial statements, whether due to fraud or error</w:t>
      </w:r>
      <w:r w:rsidR="003E31E0" w:rsidRPr="003E31E0">
        <w:rPr>
          <w:color w:val="auto"/>
        </w:rPr>
        <w:t>.</w:t>
      </w:r>
    </w:p>
    <w:p w:rsidR="00BC0D52" w:rsidRPr="003E31E0" w:rsidRDefault="00BC0D52" w:rsidP="00BC0D52">
      <w:pPr>
        <w:spacing w:after="0" w:line="240" w:lineRule="auto"/>
        <w:jc w:val="both"/>
        <w:rPr>
          <w:color w:val="auto"/>
        </w:rPr>
      </w:pPr>
    </w:p>
    <w:p w:rsidR="00BC0D52" w:rsidRDefault="00BC0D52" w:rsidP="00BC0D52">
      <w:pPr>
        <w:spacing w:after="0" w:line="240" w:lineRule="auto"/>
        <w:jc w:val="both"/>
        <w:rPr>
          <w:b/>
          <w:color w:val="auto"/>
        </w:rPr>
      </w:pPr>
    </w:p>
    <w:p w:rsidR="002D1FE5" w:rsidRDefault="00427E2B" w:rsidP="00BC0D52">
      <w:pPr>
        <w:spacing w:after="0" w:line="240" w:lineRule="auto"/>
        <w:jc w:val="both"/>
        <w:rPr>
          <w:b/>
          <w:color w:val="auto"/>
        </w:rPr>
      </w:pPr>
      <w:r w:rsidRPr="00427E2B">
        <w:rPr>
          <w:b/>
          <w:color w:val="auto"/>
        </w:rPr>
        <w:t>AUDITOR’S OPINION</w:t>
      </w:r>
    </w:p>
    <w:p w:rsidR="00BC0D52" w:rsidRPr="00427E2B" w:rsidRDefault="00BC0D52" w:rsidP="00BC0D52">
      <w:pPr>
        <w:spacing w:after="0" w:line="240" w:lineRule="auto"/>
        <w:jc w:val="both"/>
        <w:rPr>
          <w:b/>
          <w:color w:val="auto"/>
        </w:rPr>
      </w:pPr>
    </w:p>
    <w:p w:rsidR="00427E2B" w:rsidRPr="003E31E0" w:rsidRDefault="00427E2B" w:rsidP="00E61DEE">
      <w:pPr>
        <w:spacing w:after="0" w:line="240" w:lineRule="auto"/>
        <w:jc w:val="both"/>
        <w:rPr>
          <w:color w:val="auto"/>
        </w:rPr>
      </w:pPr>
      <w:r w:rsidRPr="003E31E0">
        <w:rPr>
          <w:color w:val="auto"/>
        </w:rPr>
        <w:t>We rendered a qualified opinion on the fairness of the presentation of the financial statements in view of the following exceptions:</w:t>
      </w:r>
    </w:p>
    <w:p w:rsidR="00427E2B" w:rsidRPr="003E31E0" w:rsidRDefault="00427E2B" w:rsidP="00427E2B">
      <w:pPr>
        <w:spacing w:after="0" w:line="240" w:lineRule="auto"/>
        <w:jc w:val="both"/>
        <w:rPr>
          <w:color w:val="auto"/>
        </w:rPr>
      </w:pPr>
    </w:p>
    <w:p w:rsidR="008323EC" w:rsidRDefault="006B05A4" w:rsidP="006B05A4">
      <w:pPr>
        <w:pStyle w:val="ListParagraph"/>
        <w:numPr>
          <w:ilvl w:val="0"/>
          <w:numId w:val="14"/>
        </w:numPr>
        <w:tabs>
          <w:tab w:val="left" w:pos="0"/>
        </w:tabs>
        <w:ind w:left="0" w:firstLine="0"/>
        <w:jc w:val="both"/>
        <w:rPr>
          <w:rFonts w:ascii="Arial" w:hAnsi="Arial" w:cs="Arial"/>
        </w:rPr>
      </w:pPr>
      <w:r w:rsidRPr="006B05A4">
        <w:rPr>
          <w:rFonts w:ascii="Arial" w:hAnsi="Arial" w:cs="Arial"/>
          <w:color w:val="000000" w:themeColor="text1"/>
        </w:rPr>
        <w:t xml:space="preserve">The </w:t>
      </w:r>
      <w:r w:rsidRPr="006B05A4">
        <w:rPr>
          <w:rFonts w:ascii="Arial" w:hAnsi="Arial" w:cs="Arial"/>
        </w:rPr>
        <w:t>validity of Cash, Receivables, Prepayments, and Other Current Assets accounts totaling P395.532 million representing 40.61 per cent of the total account balances of P973.967 million is doubtful and the probability of full recovery is already remote since these accounts have been dormant for more than 10 to 28 years due to undocumented balances carried over from seven defunct tobacco agencies in 1987, and the inclusion of unsettled loans of farmers/traders/cooperatives since 1996, receivables from officers and employees no longer in the service, and unrecovered investment in bonds because the case for recovery has been dismissed by the court, among others.</w:t>
      </w:r>
    </w:p>
    <w:p w:rsidR="006B05A4" w:rsidRPr="006B05A4" w:rsidRDefault="006B05A4" w:rsidP="006B05A4">
      <w:pPr>
        <w:pStyle w:val="ListParagraph"/>
        <w:tabs>
          <w:tab w:val="left" w:pos="0"/>
        </w:tabs>
        <w:ind w:left="0"/>
        <w:jc w:val="both"/>
        <w:rPr>
          <w:rFonts w:ascii="Arial" w:hAnsi="Arial" w:cs="Arial"/>
        </w:rPr>
      </w:pPr>
    </w:p>
    <w:p w:rsidR="006655A8" w:rsidRPr="006B05A4" w:rsidRDefault="008323EC" w:rsidP="006655A8">
      <w:pPr>
        <w:pStyle w:val="ListParagraph"/>
        <w:numPr>
          <w:ilvl w:val="0"/>
          <w:numId w:val="14"/>
        </w:numPr>
        <w:tabs>
          <w:tab w:val="left" w:pos="540"/>
        </w:tabs>
        <w:spacing w:after="0" w:afterAutospacing="0"/>
        <w:ind w:left="0" w:firstLine="0"/>
        <w:jc w:val="both"/>
        <w:rPr>
          <w:rFonts w:ascii="Arial" w:hAnsi="Arial" w:cs="Arial"/>
        </w:rPr>
      </w:pPr>
      <w:r w:rsidRPr="006B05A4">
        <w:rPr>
          <w:rFonts w:ascii="Arial" w:hAnsi="Arial" w:cs="Arial"/>
        </w:rPr>
        <w:t>T</w:t>
      </w:r>
      <w:r w:rsidR="006655A8" w:rsidRPr="006B05A4">
        <w:rPr>
          <w:rFonts w:ascii="Arial" w:hAnsi="Arial" w:cs="Arial"/>
        </w:rPr>
        <w:t>he</w:t>
      </w:r>
      <w:r w:rsidR="006B05A4" w:rsidRPr="006B05A4">
        <w:rPr>
          <w:rFonts w:ascii="Arial" w:hAnsi="Arial" w:cs="Arial"/>
          <w:bCs/>
        </w:rPr>
        <w:t xml:space="preserve"> accuracy and existence of the Property, Plant and Equipment (PPE) account with a carrying value of P480.644 million as at December 31, 2016 could not be ascertained due to non-conduct of physical inventory </w:t>
      </w:r>
      <w:r w:rsidR="006B05A4" w:rsidRPr="006B05A4">
        <w:rPr>
          <w:rFonts w:ascii="Arial" w:hAnsi="Arial" w:cs="Arial"/>
        </w:rPr>
        <w:t>of immovable assets</w:t>
      </w:r>
      <w:r w:rsidR="006B05A4" w:rsidRPr="006B05A4">
        <w:rPr>
          <w:rFonts w:ascii="Arial" w:hAnsi="Arial" w:cs="Arial"/>
          <w:bCs/>
        </w:rPr>
        <w:t xml:space="preserve"> totaling P443.120 million; </w:t>
      </w:r>
      <w:r w:rsidR="006B05A4" w:rsidRPr="006B05A4">
        <w:rPr>
          <w:rFonts w:ascii="Arial" w:hAnsi="Arial" w:cs="Arial"/>
        </w:rPr>
        <w:t>discrepancy of P181.521 million between property records of P291.771 million and accounting records of P110.250 million; non-provision with allowance for impairment of assets in Cagayan Branch Office that remain idle for years; Non-maintenance of Property, Plant and Equipment Ledger Cards (PPELC)and Property Stock Cards by the Tobacco Dust Processing(TDP) Project Accounting and Property Units, thus reconciliation cannot be conducted and lapses in property management.</w:t>
      </w:r>
    </w:p>
    <w:p w:rsidR="006655A8" w:rsidRPr="006655A8" w:rsidRDefault="006655A8" w:rsidP="006655A8">
      <w:pPr>
        <w:pStyle w:val="ListParagraph"/>
        <w:rPr>
          <w:rFonts w:ascii="Arial" w:hAnsi="Arial" w:cs="Arial"/>
          <w:color w:val="000000"/>
        </w:rPr>
      </w:pPr>
    </w:p>
    <w:p w:rsidR="006B05A4" w:rsidRDefault="006655A8" w:rsidP="00427E2B">
      <w:pPr>
        <w:pStyle w:val="ListParagraph"/>
        <w:numPr>
          <w:ilvl w:val="0"/>
          <w:numId w:val="14"/>
        </w:numPr>
        <w:tabs>
          <w:tab w:val="left" w:pos="540"/>
        </w:tabs>
        <w:spacing w:after="0" w:afterAutospacing="0"/>
        <w:ind w:left="0" w:firstLine="0"/>
        <w:jc w:val="both"/>
        <w:rPr>
          <w:rFonts w:ascii="Arial" w:hAnsi="Arial" w:cs="Arial"/>
        </w:rPr>
      </w:pPr>
      <w:r w:rsidRPr="006655A8">
        <w:rPr>
          <w:rFonts w:ascii="Arial" w:hAnsi="Arial" w:cs="Arial"/>
        </w:rPr>
        <w:t>The accuracy and existence of the Land account under Property, Plant and Equipment (PPE) totaling P110.250 million as at December 31, 2016 could not be ascertained due to (a) non-validation/non-conduct of physical inventory of immovable assets contrary to COA Circular No. 80-124 dated January 18, 1980 and Section 58 of Presidential Decree (PD) No. 1445; (b) inclusion in the Report on Physical Count of PPE (RPCPPE) of claimed parcels of land of which titles are not yet in the name of NTA; and (c) discrepancy of P181.521 million between property records of P291.771 million and accounting records of P110.250 million.</w:t>
      </w:r>
    </w:p>
    <w:p w:rsidR="006B05A4" w:rsidRDefault="006B05A4" w:rsidP="006B05A4">
      <w:pPr>
        <w:pStyle w:val="ListParagraph"/>
        <w:tabs>
          <w:tab w:val="left" w:pos="540"/>
        </w:tabs>
        <w:spacing w:after="0" w:afterAutospacing="0"/>
        <w:ind w:left="0"/>
        <w:jc w:val="both"/>
        <w:rPr>
          <w:rFonts w:ascii="Arial" w:hAnsi="Arial" w:cs="Arial"/>
        </w:rPr>
      </w:pPr>
    </w:p>
    <w:p w:rsidR="006B05A4" w:rsidRDefault="006B05A4" w:rsidP="00427E2B">
      <w:pPr>
        <w:spacing w:after="0" w:line="240" w:lineRule="auto"/>
        <w:jc w:val="both"/>
        <w:rPr>
          <w:rFonts w:eastAsia="Calibri"/>
          <w:color w:val="auto"/>
        </w:rPr>
      </w:pPr>
    </w:p>
    <w:p w:rsidR="006B05A4" w:rsidRDefault="006B05A4" w:rsidP="00427E2B">
      <w:pPr>
        <w:spacing w:after="0" w:line="240" w:lineRule="auto"/>
        <w:jc w:val="both"/>
        <w:rPr>
          <w:rFonts w:eastAsia="Calibri"/>
          <w:color w:val="auto"/>
        </w:rPr>
      </w:pPr>
    </w:p>
    <w:p w:rsidR="006B05A4" w:rsidRDefault="006B05A4" w:rsidP="00427E2B">
      <w:pPr>
        <w:spacing w:after="0" w:line="240" w:lineRule="auto"/>
        <w:jc w:val="both"/>
        <w:rPr>
          <w:rFonts w:eastAsia="Calibri"/>
          <w:color w:val="auto"/>
        </w:rPr>
      </w:pPr>
    </w:p>
    <w:p w:rsidR="006B05A4" w:rsidRDefault="006B05A4" w:rsidP="00427E2B">
      <w:pPr>
        <w:spacing w:after="0" w:line="240" w:lineRule="auto"/>
        <w:jc w:val="both"/>
        <w:rPr>
          <w:rFonts w:eastAsia="Calibri"/>
          <w:color w:val="auto"/>
        </w:rPr>
      </w:pPr>
    </w:p>
    <w:p w:rsidR="00427E2B" w:rsidRPr="003E31E0" w:rsidRDefault="00427E2B" w:rsidP="00427E2B">
      <w:pPr>
        <w:spacing w:after="0" w:line="240" w:lineRule="auto"/>
        <w:jc w:val="both"/>
        <w:rPr>
          <w:b/>
          <w:color w:val="auto"/>
        </w:rPr>
      </w:pPr>
      <w:r w:rsidRPr="003E31E0">
        <w:rPr>
          <w:b/>
          <w:color w:val="auto"/>
        </w:rPr>
        <w:t>SUMMARY OF SIGNIFICANT AUDIT OBSERVATIONS AND RECOMMENDATIONS</w:t>
      </w:r>
    </w:p>
    <w:p w:rsidR="00427E2B" w:rsidRPr="003E31E0" w:rsidRDefault="00427E2B" w:rsidP="00427E2B">
      <w:pPr>
        <w:spacing w:after="0" w:line="240" w:lineRule="auto"/>
        <w:jc w:val="both"/>
        <w:rPr>
          <w:color w:val="auto"/>
        </w:rPr>
      </w:pPr>
    </w:p>
    <w:p w:rsidR="00DF0F76" w:rsidRPr="003E31E0" w:rsidRDefault="00427E2B" w:rsidP="00DF0F76">
      <w:pPr>
        <w:spacing w:after="0" w:line="240" w:lineRule="auto"/>
        <w:jc w:val="both"/>
        <w:rPr>
          <w:rFonts w:eastAsia="Calibri"/>
          <w:color w:val="000000" w:themeColor="text1"/>
        </w:rPr>
      </w:pPr>
      <w:r w:rsidRPr="003E31E0">
        <w:rPr>
          <w:color w:val="000000" w:themeColor="text1"/>
        </w:rPr>
        <w:t>For the above</w:t>
      </w:r>
      <w:r w:rsidR="00431F82" w:rsidRPr="003E31E0">
        <w:rPr>
          <w:color w:val="000000" w:themeColor="text1"/>
        </w:rPr>
        <w:t xml:space="preserve">-mentioned </w:t>
      </w:r>
      <w:r w:rsidRPr="003E31E0">
        <w:rPr>
          <w:color w:val="000000" w:themeColor="text1"/>
        </w:rPr>
        <w:t>observations which caused the</w:t>
      </w:r>
      <w:r w:rsidR="00431F82" w:rsidRPr="003E31E0">
        <w:rPr>
          <w:color w:val="000000" w:themeColor="text1"/>
        </w:rPr>
        <w:t xml:space="preserve"> issuance of a qualified opinion, we recommended </w:t>
      </w:r>
      <w:r w:rsidR="00537899">
        <w:rPr>
          <w:color w:val="000000" w:themeColor="text1"/>
        </w:rPr>
        <w:t>that</w:t>
      </w:r>
      <w:r w:rsidR="00431F82" w:rsidRPr="003E31E0">
        <w:rPr>
          <w:color w:val="000000" w:themeColor="text1"/>
        </w:rPr>
        <w:t xml:space="preserve"> Management</w:t>
      </w:r>
      <w:r w:rsidR="00537899">
        <w:rPr>
          <w:color w:val="000000" w:themeColor="text1"/>
        </w:rPr>
        <w:t>:</w:t>
      </w:r>
    </w:p>
    <w:p w:rsidR="00C619B6" w:rsidRPr="00474AFB" w:rsidRDefault="00C619B6" w:rsidP="00BC4B8C">
      <w:pPr>
        <w:tabs>
          <w:tab w:val="left" w:pos="0"/>
          <w:tab w:val="left" w:pos="540"/>
        </w:tabs>
        <w:spacing w:after="0" w:line="240" w:lineRule="auto"/>
        <w:jc w:val="both"/>
      </w:pPr>
    </w:p>
    <w:p w:rsidR="004C78EA" w:rsidRPr="004C78EA" w:rsidRDefault="0094547C" w:rsidP="004C78EA">
      <w:pPr>
        <w:pStyle w:val="ListParagraph"/>
        <w:numPr>
          <w:ilvl w:val="1"/>
          <w:numId w:val="16"/>
        </w:numPr>
        <w:tabs>
          <w:tab w:val="left" w:pos="0"/>
          <w:tab w:val="left" w:pos="540"/>
        </w:tabs>
        <w:spacing w:after="0"/>
        <w:ind w:left="0" w:firstLine="0"/>
        <w:jc w:val="both"/>
        <w:rPr>
          <w:rFonts w:ascii="Arial" w:hAnsi="Arial" w:cs="Arial"/>
          <w:color w:val="000000" w:themeColor="text1"/>
        </w:rPr>
      </w:pPr>
      <w:r>
        <w:rPr>
          <w:rFonts w:ascii="Arial" w:hAnsi="Arial" w:cs="Arial"/>
        </w:rPr>
        <w:t xml:space="preserve">In </w:t>
      </w:r>
      <w:r w:rsidR="00474AFB" w:rsidRPr="00474AFB">
        <w:rPr>
          <w:rFonts w:ascii="Arial" w:hAnsi="Arial" w:cs="Arial"/>
        </w:rPr>
        <w:t>Central/Regional Offices’ Accountants to:</w:t>
      </w:r>
    </w:p>
    <w:p w:rsidR="004C78EA" w:rsidRPr="00A30EA8" w:rsidRDefault="004C78EA" w:rsidP="004C78EA">
      <w:pPr>
        <w:pStyle w:val="ListParagraph"/>
        <w:tabs>
          <w:tab w:val="left" w:pos="0"/>
          <w:tab w:val="left" w:pos="540"/>
        </w:tabs>
        <w:spacing w:after="0"/>
        <w:ind w:left="0"/>
        <w:jc w:val="both"/>
        <w:rPr>
          <w:rFonts w:ascii="Arial" w:hAnsi="Arial" w:cs="Arial"/>
          <w:color w:val="000000" w:themeColor="text1"/>
        </w:rPr>
      </w:pPr>
    </w:p>
    <w:p w:rsidR="00474AFB" w:rsidRPr="00A30EA8" w:rsidRDefault="00474AFB" w:rsidP="0074596E">
      <w:pPr>
        <w:pStyle w:val="ListParagraph"/>
        <w:numPr>
          <w:ilvl w:val="2"/>
          <w:numId w:val="30"/>
        </w:numPr>
        <w:tabs>
          <w:tab w:val="left" w:pos="540"/>
        </w:tabs>
        <w:spacing w:after="0" w:afterAutospacing="0"/>
        <w:ind w:left="567" w:firstLine="0"/>
        <w:jc w:val="both"/>
        <w:rPr>
          <w:rFonts w:ascii="Arial" w:hAnsi="Arial" w:cs="Arial"/>
          <w:color w:val="000000" w:themeColor="text1"/>
        </w:rPr>
      </w:pPr>
      <w:r w:rsidRPr="00A30EA8">
        <w:rPr>
          <w:rFonts w:ascii="Arial" w:hAnsi="Arial" w:cs="Arial"/>
        </w:rPr>
        <w:t xml:space="preserve">Set time frame in complying with the documentation of dormant accounts to support the request for write off from the Commission on Audit, in accordance with existing guidelines; </w:t>
      </w:r>
    </w:p>
    <w:p w:rsidR="0074596E" w:rsidRPr="004C78EA" w:rsidRDefault="0074596E" w:rsidP="0074596E">
      <w:pPr>
        <w:pStyle w:val="ListParagraph"/>
        <w:tabs>
          <w:tab w:val="left" w:pos="540"/>
        </w:tabs>
        <w:spacing w:after="0" w:afterAutospacing="0"/>
        <w:ind w:left="567"/>
        <w:jc w:val="both"/>
        <w:rPr>
          <w:rFonts w:ascii="Arial" w:hAnsi="Arial" w:cs="Arial"/>
          <w:color w:val="000000" w:themeColor="text1"/>
        </w:rPr>
      </w:pPr>
    </w:p>
    <w:p w:rsidR="00752518" w:rsidRPr="0074596E" w:rsidRDefault="00474AFB" w:rsidP="0074596E">
      <w:pPr>
        <w:pStyle w:val="ListParagraph"/>
        <w:numPr>
          <w:ilvl w:val="2"/>
          <w:numId w:val="30"/>
        </w:numPr>
        <w:tabs>
          <w:tab w:val="left" w:pos="540"/>
        </w:tabs>
        <w:spacing w:after="0" w:afterAutospacing="0"/>
        <w:ind w:left="567" w:firstLine="0"/>
        <w:jc w:val="both"/>
        <w:rPr>
          <w:rFonts w:ascii="Arial" w:hAnsi="Arial" w:cs="Arial"/>
          <w:color w:val="000000" w:themeColor="text1"/>
        </w:rPr>
      </w:pPr>
      <w:r w:rsidRPr="004C78EA">
        <w:rPr>
          <w:rFonts w:ascii="Arial" w:hAnsi="Arial" w:cs="Arial"/>
        </w:rPr>
        <w:t>Analyze all receivable accounts pertaining to officers and employees to establish their correct balances, thereafter send demand letters for the immediate settlement of their obligations, otherwise, deduct from whatever cash/benefits due them; and</w:t>
      </w:r>
    </w:p>
    <w:p w:rsidR="0074596E" w:rsidRPr="0074596E" w:rsidRDefault="0074596E" w:rsidP="0074596E">
      <w:pPr>
        <w:tabs>
          <w:tab w:val="left" w:pos="540"/>
        </w:tabs>
        <w:spacing w:after="0"/>
        <w:jc w:val="both"/>
        <w:rPr>
          <w:color w:val="000000" w:themeColor="text1"/>
        </w:rPr>
      </w:pPr>
    </w:p>
    <w:p w:rsidR="00474AFB" w:rsidRPr="0074596E" w:rsidRDefault="00474AFB" w:rsidP="0074596E">
      <w:pPr>
        <w:pStyle w:val="ListParagraph"/>
        <w:numPr>
          <w:ilvl w:val="2"/>
          <w:numId w:val="30"/>
        </w:numPr>
        <w:tabs>
          <w:tab w:val="left" w:pos="540"/>
        </w:tabs>
        <w:spacing w:after="0" w:afterAutospacing="0"/>
        <w:ind w:left="567" w:firstLine="0"/>
        <w:jc w:val="both"/>
        <w:rPr>
          <w:rFonts w:ascii="Arial" w:hAnsi="Arial" w:cs="Arial"/>
          <w:color w:val="000000" w:themeColor="text1"/>
        </w:rPr>
      </w:pPr>
      <w:r w:rsidRPr="00752518">
        <w:rPr>
          <w:rFonts w:ascii="Arial" w:hAnsi="Arial" w:cs="Arial"/>
        </w:rPr>
        <w:t>Analyze the Prepayment and Other Current Assets accounts to determine accounts affected to serve as basis in preparing adjustments to close the accounts.</w:t>
      </w:r>
    </w:p>
    <w:p w:rsidR="0074596E" w:rsidRPr="00752518" w:rsidRDefault="0074596E" w:rsidP="0074596E">
      <w:pPr>
        <w:pStyle w:val="ListParagraph"/>
        <w:tabs>
          <w:tab w:val="left" w:pos="540"/>
          <w:tab w:val="left" w:pos="1418"/>
        </w:tabs>
        <w:spacing w:after="0" w:afterAutospacing="0"/>
        <w:ind w:left="1071"/>
        <w:jc w:val="both"/>
        <w:rPr>
          <w:rFonts w:ascii="Arial" w:hAnsi="Arial" w:cs="Arial"/>
          <w:color w:val="000000" w:themeColor="text1"/>
        </w:rPr>
      </w:pPr>
    </w:p>
    <w:p w:rsidR="00474AFB" w:rsidRDefault="00474AFB" w:rsidP="0094547C">
      <w:pPr>
        <w:pStyle w:val="ListParagraph"/>
        <w:numPr>
          <w:ilvl w:val="1"/>
          <w:numId w:val="16"/>
        </w:numPr>
        <w:tabs>
          <w:tab w:val="left" w:pos="567"/>
        </w:tabs>
        <w:spacing w:after="0"/>
        <w:ind w:left="0" w:firstLine="0"/>
        <w:jc w:val="both"/>
        <w:rPr>
          <w:rFonts w:ascii="Arial" w:hAnsi="Arial" w:cs="Arial"/>
        </w:rPr>
      </w:pPr>
      <w:r w:rsidRPr="0094547C">
        <w:rPr>
          <w:rFonts w:ascii="Arial" w:hAnsi="Arial" w:cs="Arial"/>
        </w:rPr>
        <w:t>Legal Officer to:</w:t>
      </w:r>
    </w:p>
    <w:p w:rsidR="00752518" w:rsidRPr="0094547C" w:rsidRDefault="00752518" w:rsidP="00752518">
      <w:pPr>
        <w:pStyle w:val="ListParagraph"/>
        <w:tabs>
          <w:tab w:val="left" w:pos="567"/>
        </w:tabs>
        <w:spacing w:after="0"/>
        <w:ind w:left="0"/>
        <w:jc w:val="both"/>
        <w:rPr>
          <w:rFonts w:ascii="Arial" w:hAnsi="Arial" w:cs="Arial"/>
        </w:rPr>
      </w:pPr>
    </w:p>
    <w:p w:rsidR="00752518" w:rsidRPr="00752518" w:rsidRDefault="00752518" w:rsidP="00752518">
      <w:pPr>
        <w:pStyle w:val="ListParagraph"/>
        <w:numPr>
          <w:ilvl w:val="0"/>
          <w:numId w:val="31"/>
        </w:numPr>
        <w:tabs>
          <w:tab w:val="left" w:pos="540"/>
          <w:tab w:val="left" w:pos="1418"/>
        </w:tabs>
        <w:spacing w:after="0" w:afterAutospacing="0"/>
        <w:jc w:val="both"/>
        <w:rPr>
          <w:rFonts w:ascii="Arial" w:hAnsi="Arial" w:cs="Arial"/>
          <w:vanish/>
        </w:rPr>
      </w:pPr>
    </w:p>
    <w:p w:rsidR="00752518" w:rsidRPr="00752518" w:rsidRDefault="00752518" w:rsidP="00752518">
      <w:pPr>
        <w:pStyle w:val="ListParagraph"/>
        <w:numPr>
          <w:ilvl w:val="1"/>
          <w:numId w:val="31"/>
        </w:numPr>
        <w:tabs>
          <w:tab w:val="left" w:pos="540"/>
          <w:tab w:val="left" w:pos="1418"/>
        </w:tabs>
        <w:spacing w:after="0" w:afterAutospacing="0"/>
        <w:jc w:val="both"/>
        <w:rPr>
          <w:rFonts w:ascii="Arial" w:hAnsi="Arial" w:cs="Arial"/>
          <w:vanish/>
        </w:rPr>
      </w:pPr>
    </w:p>
    <w:p w:rsidR="00752518" w:rsidRPr="00752518" w:rsidRDefault="00752518" w:rsidP="00752518">
      <w:pPr>
        <w:pStyle w:val="ListParagraph"/>
        <w:numPr>
          <w:ilvl w:val="1"/>
          <w:numId w:val="31"/>
        </w:numPr>
        <w:tabs>
          <w:tab w:val="left" w:pos="540"/>
          <w:tab w:val="left" w:pos="1418"/>
        </w:tabs>
        <w:spacing w:after="0" w:afterAutospacing="0"/>
        <w:jc w:val="both"/>
        <w:rPr>
          <w:rFonts w:ascii="Arial" w:hAnsi="Arial" w:cs="Arial"/>
          <w:vanish/>
        </w:rPr>
      </w:pPr>
    </w:p>
    <w:p w:rsidR="00474AFB" w:rsidRDefault="00474AFB" w:rsidP="0074596E">
      <w:pPr>
        <w:pStyle w:val="ListParagraph"/>
        <w:numPr>
          <w:ilvl w:val="2"/>
          <w:numId w:val="31"/>
        </w:numPr>
        <w:spacing w:after="0" w:afterAutospacing="0"/>
        <w:ind w:left="567" w:firstLine="0"/>
        <w:jc w:val="both"/>
        <w:rPr>
          <w:rFonts w:ascii="Arial" w:hAnsi="Arial" w:cs="Arial"/>
        </w:rPr>
      </w:pPr>
      <w:r w:rsidRPr="0094547C">
        <w:rPr>
          <w:rFonts w:ascii="Arial" w:hAnsi="Arial" w:cs="Arial"/>
        </w:rPr>
        <w:t>Make representations with LBP Head Office on the possible redemption of the bonds amounting to P28.634 million, and the results of which shall be the basis for succeeding action to be undertaken; and</w:t>
      </w:r>
    </w:p>
    <w:p w:rsidR="0074596E" w:rsidRDefault="0074596E" w:rsidP="0074596E">
      <w:pPr>
        <w:pStyle w:val="ListParagraph"/>
        <w:spacing w:after="0" w:afterAutospacing="0"/>
        <w:ind w:left="567"/>
        <w:jc w:val="both"/>
        <w:rPr>
          <w:rFonts w:ascii="Arial" w:hAnsi="Arial" w:cs="Arial"/>
        </w:rPr>
      </w:pPr>
    </w:p>
    <w:p w:rsidR="00BC4B8C" w:rsidRDefault="00474AFB" w:rsidP="0074596E">
      <w:pPr>
        <w:pStyle w:val="ListParagraph"/>
        <w:numPr>
          <w:ilvl w:val="2"/>
          <w:numId w:val="31"/>
        </w:numPr>
        <w:spacing w:after="0" w:afterAutospacing="0"/>
        <w:ind w:left="567" w:firstLine="0"/>
        <w:jc w:val="both"/>
        <w:rPr>
          <w:rFonts w:ascii="Arial" w:hAnsi="Arial" w:cs="Arial"/>
        </w:rPr>
      </w:pPr>
      <w:r w:rsidRPr="00752518">
        <w:rPr>
          <w:rFonts w:ascii="Arial" w:hAnsi="Arial" w:cs="Arial"/>
        </w:rPr>
        <w:t>Exert all legal remedies for the rescission of the Certificates of Award and for the reconveyance of the pertinent lots located in Tuguegarao, Cagayan to the government pursuant to Resolution No. 258-2012 dated April 12, 2012 of the NTA Governing Board, if the awardees and/or the occupants/possessors/successors of the 20 unpaid lots do not agree to settle in full the cost with increments for the unpaid lots.</w:t>
      </w:r>
    </w:p>
    <w:p w:rsidR="0074596E" w:rsidRPr="0074596E" w:rsidRDefault="0074596E" w:rsidP="0074596E">
      <w:pPr>
        <w:pStyle w:val="ListParagraph"/>
        <w:tabs>
          <w:tab w:val="left" w:pos="540"/>
          <w:tab w:val="left" w:pos="1418"/>
        </w:tabs>
        <w:spacing w:after="0" w:afterAutospacing="0"/>
        <w:ind w:left="1071"/>
        <w:jc w:val="both"/>
        <w:rPr>
          <w:rFonts w:ascii="Arial" w:hAnsi="Arial" w:cs="Arial"/>
          <w:color w:val="000000" w:themeColor="text1"/>
        </w:rPr>
      </w:pPr>
    </w:p>
    <w:p w:rsidR="0074596E" w:rsidRPr="0074596E" w:rsidRDefault="0074596E" w:rsidP="0074596E">
      <w:pPr>
        <w:pStyle w:val="ListParagraph"/>
        <w:numPr>
          <w:ilvl w:val="1"/>
          <w:numId w:val="16"/>
        </w:numPr>
        <w:tabs>
          <w:tab w:val="left" w:pos="567"/>
        </w:tabs>
        <w:spacing w:after="0"/>
        <w:ind w:left="0" w:firstLine="0"/>
        <w:jc w:val="both"/>
        <w:rPr>
          <w:rFonts w:ascii="Arial" w:hAnsi="Arial" w:cs="Arial"/>
        </w:rPr>
      </w:pPr>
      <w:r w:rsidRPr="0074596E">
        <w:rPr>
          <w:rFonts w:ascii="Arial" w:hAnsi="Arial" w:cs="Arial"/>
        </w:rPr>
        <w:t>Concerned Branch Managers of Vigan, Batac and Candon to make representations with the DENR for the possible transfer of the reforestation project sites to the local government units so as to preserve the area.</w:t>
      </w:r>
    </w:p>
    <w:p w:rsidR="0074596E" w:rsidRPr="0074596E" w:rsidRDefault="0074596E" w:rsidP="0074596E">
      <w:pPr>
        <w:pStyle w:val="ListParagraph"/>
        <w:tabs>
          <w:tab w:val="left" w:pos="567"/>
        </w:tabs>
        <w:spacing w:after="0"/>
        <w:ind w:left="0"/>
        <w:jc w:val="both"/>
        <w:rPr>
          <w:rFonts w:ascii="Arial" w:hAnsi="Arial" w:cs="Arial"/>
        </w:rPr>
      </w:pPr>
    </w:p>
    <w:p w:rsidR="006256A1" w:rsidRPr="006256A1" w:rsidRDefault="006256A1" w:rsidP="006256A1">
      <w:pPr>
        <w:pStyle w:val="ListParagraph"/>
        <w:numPr>
          <w:ilvl w:val="1"/>
          <w:numId w:val="24"/>
        </w:numPr>
        <w:tabs>
          <w:tab w:val="left" w:pos="540"/>
          <w:tab w:val="left" w:pos="1980"/>
          <w:tab w:val="left" w:pos="2700"/>
        </w:tabs>
        <w:spacing w:after="0"/>
        <w:ind w:left="0" w:firstLine="0"/>
        <w:jc w:val="both"/>
        <w:rPr>
          <w:rFonts w:ascii="Arial" w:hAnsi="Arial" w:cs="Arial"/>
        </w:rPr>
      </w:pPr>
      <w:r w:rsidRPr="006256A1">
        <w:rPr>
          <w:rFonts w:ascii="Arial" w:hAnsi="Arial" w:cs="Arial"/>
        </w:rPr>
        <w:t>Create an Inventory Committee toconduct physical inventory of Property, Plant and Equipment (PPE) annually and to submit the required Report on the Physical Count of Property, Plant and Equipment (RPCPPE) in conformity with COA Circular No. 80-124 dated January 18, 1980 and Chapter 10, Section 42 of the Government Accounting Manual (GAM) Volume II;</w:t>
      </w:r>
    </w:p>
    <w:p w:rsidR="006256A1" w:rsidRPr="006256A1" w:rsidRDefault="006256A1" w:rsidP="006256A1">
      <w:pPr>
        <w:pStyle w:val="ListParagraph"/>
        <w:tabs>
          <w:tab w:val="left" w:pos="540"/>
          <w:tab w:val="left" w:pos="1980"/>
          <w:tab w:val="left" w:pos="2700"/>
        </w:tabs>
        <w:spacing w:after="0"/>
        <w:ind w:left="0"/>
        <w:jc w:val="both"/>
        <w:rPr>
          <w:rFonts w:ascii="Arial" w:hAnsi="Arial" w:cs="Arial"/>
        </w:rPr>
      </w:pPr>
    </w:p>
    <w:p w:rsidR="006256A1" w:rsidRPr="006256A1" w:rsidRDefault="006256A1" w:rsidP="006256A1">
      <w:pPr>
        <w:pStyle w:val="ListParagraph"/>
        <w:numPr>
          <w:ilvl w:val="1"/>
          <w:numId w:val="24"/>
        </w:numPr>
        <w:tabs>
          <w:tab w:val="left" w:pos="540"/>
          <w:tab w:val="left" w:pos="1980"/>
          <w:tab w:val="left" w:pos="2700"/>
        </w:tabs>
        <w:spacing w:after="0"/>
        <w:ind w:left="0" w:firstLine="0"/>
        <w:jc w:val="both"/>
        <w:rPr>
          <w:rFonts w:ascii="Arial" w:hAnsi="Arial" w:cs="Arial"/>
        </w:rPr>
      </w:pPr>
      <w:r w:rsidRPr="006256A1">
        <w:rPr>
          <w:rFonts w:ascii="Arial" w:hAnsi="Arial" w:cs="Arial"/>
        </w:rPr>
        <w:t xml:space="preserve">Instruct the Accounting and Property Divisions to conduct periodic reconciliation between accounting and property records and adjust affected accounts accordingly; </w:t>
      </w:r>
    </w:p>
    <w:p w:rsidR="006256A1" w:rsidRPr="006256A1" w:rsidRDefault="006256A1" w:rsidP="006256A1">
      <w:pPr>
        <w:pStyle w:val="ListParagraph"/>
        <w:rPr>
          <w:rFonts w:ascii="Arial" w:hAnsi="Arial" w:cs="Arial"/>
        </w:rPr>
      </w:pPr>
    </w:p>
    <w:p w:rsidR="006256A1" w:rsidRPr="00C45CEA" w:rsidRDefault="006256A1" w:rsidP="00C45CEA">
      <w:pPr>
        <w:pStyle w:val="ListParagraph"/>
        <w:numPr>
          <w:ilvl w:val="1"/>
          <w:numId w:val="24"/>
        </w:numPr>
        <w:tabs>
          <w:tab w:val="left" w:pos="540"/>
          <w:tab w:val="left" w:pos="1980"/>
          <w:tab w:val="left" w:pos="2700"/>
        </w:tabs>
        <w:spacing w:after="0"/>
        <w:ind w:left="0" w:firstLine="0"/>
        <w:jc w:val="both"/>
        <w:rPr>
          <w:rFonts w:ascii="Arial" w:hAnsi="Arial" w:cs="Arial"/>
        </w:rPr>
      </w:pPr>
      <w:r w:rsidRPr="006256A1">
        <w:rPr>
          <w:rFonts w:ascii="Arial" w:hAnsi="Arial" w:cs="Arial"/>
        </w:rPr>
        <w:t>Renew the Property Acknowledgement Receipt (PAR) issued every after three years or every time there is a change in property accountability as stated in Chapter 10, S</w:t>
      </w:r>
      <w:r w:rsidR="00C45CEA">
        <w:rPr>
          <w:rFonts w:ascii="Arial" w:hAnsi="Arial" w:cs="Arial"/>
        </w:rPr>
        <w:t xml:space="preserve">ection 42 of the GAM Volume II and </w:t>
      </w:r>
      <w:r w:rsidRPr="00C45CEA">
        <w:rPr>
          <w:rFonts w:ascii="Arial" w:hAnsi="Arial" w:cs="Arial"/>
        </w:rPr>
        <w:t>Provide separate storage for serviceable and unserviceable properties in order to prevent their deterioration, damage and loss and to facilitate access to properties;</w:t>
      </w:r>
    </w:p>
    <w:p w:rsidR="006256A1" w:rsidRPr="006256A1" w:rsidRDefault="006256A1" w:rsidP="006256A1">
      <w:pPr>
        <w:pStyle w:val="ListParagraph"/>
        <w:rPr>
          <w:rFonts w:ascii="Arial" w:hAnsi="Arial" w:cs="Arial"/>
        </w:rPr>
      </w:pPr>
    </w:p>
    <w:p w:rsidR="006256A1" w:rsidRPr="006256A1" w:rsidRDefault="006256A1" w:rsidP="006256A1">
      <w:pPr>
        <w:pStyle w:val="ListParagraph"/>
        <w:numPr>
          <w:ilvl w:val="1"/>
          <w:numId w:val="24"/>
        </w:numPr>
        <w:tabs>
          <w:tab w:val="left" w:pos="540"/>
          <w:tab w:val="left" w:pos="1980"/>
          <w:tab w:val="left" w:pos="2700"/>
        </w:tabs>
        <w:spacing w:after="0"/>
        <w:ind w:left="0" w:firstLine="0"/>
        <w:jc w:val="both"/>
        <w:rPr>
          <w:rFonts w:ascii="Arial" w:hAnsi="Arial" w:cs="Arial"/>
        </w:rPr>
      </w:pPr>
      <w:r w:rsidRPr="006256A1">
        <w:rPr>
          <w:rFonts w:ascii="Arial" w:hAnsi="Arial" w:cs="Arial"/>
        </w:rPr>
        <w:t xml:space="preserve">In NTA-Cagayan Branch Conduct a feasibility study for the income generation possibilities that may be developed using these idle assets thereby produce additional operating funds of the agency for improvement of said assets and other agency facilities and services. However, same property items should be evaluated to determine their current status and existence of any impairment losses in conformity with Philippine Public Sector Accounting Standards (PPSAS) 21 pertaining impairment of non-cash generating assets for the fair presentation in the books of their actual economic status; and </w:t>
      </w:r>
    </w:p>
    <w:p w:rsidR="006256A1" w:rsidRPr="006256A1" w:rsidRDefault="006256A1" w:rsidP="006256A1">
      <w:pPr>
        <w:pStyle w:val="ListParagraph"/>
        <w:rPr>
          <w:rFonts w:ascii="Arial" w:hAnsi="Arial" w:cs="Arial"/>
        </w:rPr>
      </w:pPr>
    </w:p>
    <w:p w:rsidR="006256A1" w:rsidRPr="006256A1" w:rsidRDefault="006256A1" w:rsidP="006256A1">
      <w:pPr>
        <w:pStyle w:val="ListParagraph"/>
        <w:numPr>
          <w:ilvl w:val="1"/>
          <w:numId w:val="24"/>
        </w:numPr>
        <w:tabs>
          <w:tab w:val="left" w:pos="540"/>
          <w:tab w:val="left" w:pos="1980"/>
          <w:tab w:val="left" w:pos="2700"/>
        </w:tabs>
        <w:spacing w:after="0"/>
        <w:ind w:left="0" w:firstLine="0"/>
        <w:jc w:val="both"/>
        <w:rPr>
          <w:rFonts w:ascii="Arial" w:hAnsi="Arial" w:cs="Arial"/>
        </w:rPr>
      </w:pPr>
      <w:r w:rsidRPr="006256A1">
        <w:rPr>
          <w:rFonts w:ascii="Arial" w:hAnsi="Arial" w:cs="Arial"/>
        </w:rPr>
        <w:t>Require the Accounting Unit in to maintain updated Supplies and PPE Ledger Cards, and for the Plant Supervisor cum Property Custodian, the Property and Stock Cards. Periodic reconciliation of these records should be conducted for check and balance.</w:t>
      </w:r>
    </w:p>
    <w:p w:rsidR="006256A1" w:rsidRPr="00357FCA" w:rsidRDefault="006256A1" w:rsidP="006256A1">
      <w:pPr>
        <w:pStyle w:val="ListParagraph"/>
        <w:ind w:left="709"/>
        <w:jc w:val="both"/>
        <w:rPr>
          <w:rFonts w:ascii="Arial" w:hAnsi="Arial" w:cs="Arial"/>
          <w:b/>
          <w:color w:val="0070C0"/>
        </w:rPr>
      </w:pPr>
    </w:p>
    <w:p w:rsidR="004C78EA" w:rsidRPr="0074596E" w:rsidRDefault="004C78EA" w:rsidP="004C78EA">
      <w:pPr>
        <w:pStyle w:val="ListParagraph"/>
        <w:numPr>
          <w:ilvl w:val="1"/>
          <w:numId w:val="14"/>
        </w:numPr>
        <w:tabs>
          <w:tab w:val="left" w:pos="540"/>
          <w:tab w:val="left" w:pos="1260"/>
          <w:tab w:val="left" w:pos="1980"/>
          <w:tab w:val="left" w:pos="2700"/>
        </w:tabs>
        <w:spacing w:after="0"/>
        <w:ind w:left="0" w:firstLine="0"/>
        <w:jc w:val="both"/>
        <w:rPr>
          <w:rFonts w:ascii="Arial" w:hAnsi="Arial" w:cs="Arial"/>
        </w:rPr>
      </w:pPr>
      <w:r w:rsidRPr="0074596E">
        <w:rPr>
          <w:rFonts w:ascii="Arial" w:hAnsi="Arial" w:cs="Arial"/>
        </w:rPr>
        <w:t>Complete the conduct of physical inventory of immovable assets and instruct the Property Officer and Chief Accountant to reconcile the property and accounting records with the results thereof, and submit the corresponding RPCPPE for the immovable assets to support the existence and validity of the recorded balance;</w:t>
      </w:r>
    </w:p>
    <w:p w:rsidR="004C78EA" w:rsidRPr="0074596E" w:rsidRDefault="004C78EA" w:rsidP="004C78EA">
      <w:pPr>
        <w:pStyle w:val="ListParagraph"/>
        <w:tabs>
          <w:tab w:val="left" w:pos="540"/>
          <w:tab w:val="left" w:pos="1260"/>
          <w:tab w:val="left" w:pos="1980"/>
          <w:tab w:val="left" w:pos="2700"/>
        </w:tabs>
        <w:spacing w:after="0"/>
        <w:ind w:left="0"/>
        <w:jc w:val="both"/>
        <w:rPr>
          <w:rFonts w:ascii="Arial" w:hAnsi="Arial" w:cs="Arial"/>
        </w:rPr>
      </w:pPr>
    </w:p>
    <w:p w:rsidR="004C78EA" w:rsidRPr="0074596E" w:rsidRDefault="004C78EA" w:rsidP="004C78EA">
      <w:pPr>
        <w:pStyle w:val="ListParagraph"/>
        <w:numPr>
          <w:ilvl w:val="1"/>
          <w:numId w:val="14"/>
        </w:numPr>
        <w:tabs>
          <w:tab w:val="left" w:pos="540"/>
          <w:tab w:val="left" w:pos="1260"/>
          <w:tab w:val="left" w:pos="1980"/>
          <w:tab w:val="left" w:pos="2700"/>
        </w:tabs>
        <w:spacing w:after="0"/>
        <w:ind w:left="0" w:firstLine="0"/>
        <w:jc w:val="both"/>
        <w:rPr>
          <w:rFonts w:ascii="Arial" w:hAnsi="Arial" w:cs="Arial"/>
        </w:rPr>
      </w:pPr>
      <w:r w:rsidRPr="0074596E">
        <w:rPr>
          <w:rFonts w:ascii="Arial" w:hAnsi="Arial" w:cs="Arial"/>
        </w:rPr>
        <w:t>Instruct the Branch Offices’ Managers to create a Committee that will be responsible to the following activities:</w:t>
      </w:r>
    </w:p>
    <w:p w:rsidR="004C78EA" w:rsidRPr="0074596E" w:rsidRDefault="004C78EA" w:rsidP="004C78EA">
      <w:pPr>
        <w:pStyle w:val="ListParagraph"/>
        <w:rPr>
          <w:rFonts w:ascii="Arial" w:hAnsi="Arial" w:cs="Arial"/>
          <w:b/>
        </w:rPr>
      </w:pPr>
    </w:p>
    <w:p w:rsidR="0074596E" w:rsidRPr="0074596E" w:rsidRDefault="0074596E" w:rsidP="0074596E">
      <w:pPr>
        <w:pStyle w:val="ListParagraph"/>
        <w:numPr>
          <w:ilvl w:val="0"/>
          <w:numId w:val="31"/>
        </w:numPr>
        <w:tabs>
          <w:tab w:val="left" w:pos="540"/>
          <w:tab w:val="left" w:pos="1418"/>
        </w:tabs>
        <w:spacing w:after="0" w:afterAutospacing="0"/>
        <w:jc w:val="both"/>
        <w:rPr>
          <w:rFonts w:ascii="Arial" w:hAnsi="Arial" w:cs="Arial"/>
          <w:b/>
          <w:vanish/>
        </w:rPr>
      </w:pPr>
    </w:p>
    <w:p w:rsidR="0074596E" w:rsidRPr="0074596E" w:rsidRDefault="0074596E" w:rsidP="0074596E">
      <w:pPr>
        <w:pStyle w:val="ListParagraph"/>
        <w:numPr>
          <w:ilvl w:val="0"/>
          <w:numId w:val="31"/>
        </w:numPr>
        <w:tabs>
          <w:tab w:val="left" w:pos="540"/>
          <w:tab w:val="left" w:pos="1418"/>
        </w:tabs>
        <w:spacing w:after="0" w:afterAutospacing="0"/>
        <w:jc w:val="both"/>
        <w:rPr>
          <w:rFonts w:ascii="Arial" w:hAnsi="Arial" w:cs="Arial"/>
          <w:b/>
          <w:vanish/>
        </w:rPr>
      </w:pPr>
    </w:p>
    <w:p w:rsidR="0074596E" w:rsidRPr="0074596E" w:rsidRDefault="0074596E" w:rsidP="0074596E">
      <w:pPr>
        <w:pStyle w:val="ListParagraph"/>
        <w:numPr>
          <w:ilvl w:val="1"/>
          <w:numId w:val="31"/>
        </w:numPr>
        <w:tabs>
          <w:tab w:val="left" w:pos="540"/>
          <w:tab w:val="left" w:pos="1418"/>
        </w:tabs>
        <w:spacing w:after="0" w:afterAutospacing="0"/>
        <w:jc w:val="both"/>
        <w:rPr>
          <w:rFonts w:ascii="Arial" w:hAnsi="Arial" w:cs="Arial"/>
          <w:b/>
          <w:vanish/>
        </w:rPr>
      </w:pPr>
    </w:p>
    <w:p w:rsidR="0074596E" w:rsidRPr="0074596E" w:rsidRDefault="0074596E" w:rsidP="0074596E">
      <w:pPr>
        <w:pStyle w:val="ListParagraph"/>
        <w:numPr>
          <w:ilvl w:val="1"/>
          <w:numId w:val="31"/>
        </w:numPr>
        <w:tabs>
          <w:tab w:val="left" w:pos="540"/>
          <w:tab w:val="left" w:pos="1418"/>
        </w:tabs>
        <w:spacing w:after="0" w:afterAutospacing="0"/>
        <w:jc w:val="both"/>
        <w:rPr>
          <w:rFonts w:ascii="Arial" w:hAnsi="Arial" w:cs="Arial"/>
          <w:b/>
          <w:vanish/>
        </w:rPr>
      </w:pPr>
    </w:p>
    <w:p w:rsidR="004C78EA" w:rsidRPr="0074596E" w:rsidRDefault="004C78EA" w:rsidP="0074596E">
      <w:pPr>
        <w:pStyle w:val="ListParagraph"/>
        <w:numPr>
          <w:ilvl w:val="2"/>
          <w:numId w:val="31"/>
        </w:numPr>
        <w:tabs>
          <w:tab w:val="left" w:pos="540"/>
          <w:tab w:val="left" w:pos="1418"/>
        </w:tabs>
        <w:spacing w:after="0" w:afterAutospacing="0"/>
        <w:ind w:left="567" w:firstLine="0"/>
        <w:jc w:val="both"/>
        <w:rPr>
          <w:rFonts w:ascii="Arial" w:hAnsi="Arial" w:cs="Arial"/>
        </w:rPr>
      </w:pPr>
      <w:r w:rsidRPr="0074596E">
        <w:rPr>
          <w:rFonts w:ascii="Arial" w:hAnsi="Arial" w:cs="Arial"/>
        </w:rPr>
        <w:t>Conduct of the complete physical inventory of immovable assets and reconciliation of discrepancies between property and accounting records;</w:t>
      </w:r>
    </w:p>
    <w:p w:rsidR="004C78EA" w:rsidRPr="0074596E" w:rsidRDefault="004C78EA" w:rsidP="0074596E">
      <w:pPr>
        <w:pStyle w:val="ListParagraph"/>
        <w:tabs>
          <w:tab w:val="left" w:pos="540"/>
          <w:tab w:val="left" w:pos="1418"/>
        </w:tabs>
        <w:ind w:left="567"/>
        <w:jc w:val="both"/>
        <w:rPr>
          <w:rFonts w:ascii="Arial" w:hAnsi="Arial" w:cs="Arial"/>
        </w:rPr>
      </w:pPr>
    </w:p>
    <w:p w:rsidR="004C78EA" w:rsidRPr="0074596E" w:rsidRDefault="004C78EA" w:rsidP="0074596E">
      <w:pPr>
        <w:pStyle w:val="ListParagraph"/>
        <w:numPr>
          <w:ilvl w:val="2"/>
          <w:numId w:val="31"/>
        </w:numPr>
        <w:tabs>
          <w:tab w:val="left" w:pos="540"/>
          <w:tab w:val="left" w:pos="1418"/>
        </w:tabs>
        <w:spacing w:after="0" w:afterAutospacing="0"/>
        <w:ind w:left="567" w:firstLine="0"/>
        <w:jc w:val="both"/>
        <w:rPr>
          <w:rFonts w:ascii="Arial" w:hAnsi="Arial" w:cs="Arial"/>
        </w:rPr>
      </w:pPr>
      <w:r w:rsidRPr="0074596E">
        <w:rPr>
          <w:rFonts w:ascii="Arial" w:hAnsi="Arial" w:cs="Arial"/>
        </w:rPr>
        <w:t>Submission of the RPCPPE to the audit team after reconciliation;</w:t>
      </w:r>
    </w:p>
    <w:p w:rsidR="004C78EA" w:rsidRPr="0074596E" w:rsidRDefault="004C78EA" w:rsidP="0074596E">
      <w:pPr>
        <w:pStyle w:val="ListParagraph"/>
        <w:tabs>
          <w:tab w:val="left" w:pos="540"/>
          <w:tab w:val="left" w:pos="1418"/>
        </w:tabs>
        <w:ind w:left="567"/>
        <w:jc w:val="both"/>
        <w:rPr>
          <w:rFonts w:ascii="Arial" w:hAnsi="Arial" w:cs="Arial"/>
        </w:rPr>
      </w:pPr>
    </w:p>
    <w:p w:rsidR="004C78EA" w:rsidRPr="0074596E" w:rsidRDefault="004C78EA" w:rsidP="0074596E">
      <w:pPr>
        <w:pStyle w:val="ListParagraph"/>
        <w:numPr>
          <w:ilvl w:val="2"/>
          <w:numId w:val="31"/>
        </w:numPr>
        <w:tabs>
          <w:tab w:val="left" w:pos="540"/>
          <w:tab w:val="left" w:pos="1418"/>
        </w:tabs>
        <w:spacing w:after="0" w:afterAutospacing="0"/>
        <w:ind w:left="567" w:firstLine="0"/>
        <w:jc w:val="both"/>
        <w:rPr>
          <w:rFonts w:ascii="Arial" w:hAnsi="Arial" w:cs="Arial"/>
        </w:rPr>
      </w:pPr>
      <w:r w:rsidRPr="0074596E">
        <w:rPr>
          <w:rFonts w:ascii="Arial" w:hAnsi="Arial" w:cs="Arial"/>
        </w:rPr>
        <w:t>Completion of the documentary requirements for the titling of the parcels of land in the name of NTA; and</w:t>
      </w:r>
    </w:p>
    <w:p w:rsidR="004C78EA" w:rsidRPr="0074596E" w:rsidRDefault="004C78EA" w:rsidP="0074596E">
      <w:pPr>
        <w:pStyle w:val="ListParagraph"/>
        <w:tabs>
          <w:tab w:val="left" w:pos="1418"/>
        </w:tabs>
        <w:ind w:left="567"/>
        <w:rPr>
          <w:rFonts w:ascii="Arial" w:hAnsi="Arial" w:cs="Arial"/>
        </w:rPr>
      </w:pPr>
    </w:p>
    <w:p w:rsidR="004C78EA" w:rsidRPr="0074596E" w:rsidRDefault="004C78EA" w:rsidP="0074596E">
      <w:pPr>
        <w:pStyle w:val="ListParagraph"/>
        <w:numPr>
          <w:ilvl w:val="2"/>
          <w:numId w:val="31"/>
        </w:numPr>
        <w:tabs>
          <w:tab w:val="left" w:pos="540"/>
          <w:tab w:val="left" w:pos="1418"/>
        </w:tabs>
        <w:spacing w:after="0" w:afterAutospacing="0"/>
        <w:ind w:left="567" w:firstLine="0"/>
        <w:jc w:val="both"/>
        <w:rPr>
          <w:rFonts w:ascii="Arial" w:hAnsi="Arial" w:cs="Arial"/>
        </w:rPr>
      </w:pPr>
      <w:r w:rsidRPr="0074596E">
        <w:rPr>
          <w:rFonts w:ascii="Arial" w:hAnsi="Arial" w:cs="Arial"/>
        </w:rPr>
        <w:t>Consolidation of the TCTs of parcels of land still registered under the names of the defunct PTA, NATOCO and PTRTC including the change of Tax Declarations with the Assessor’s Office of concerned local government units.</w:t>
      </w:r>
    </w:p>
    <w:p w:rsidR="00BC4B8C" w:rsidRPr="00BC4B8C" w:rsidRDefault="00BC4B8C" w:rsidP="00BC4B8C">
      <w:pPr>
        <w:pStyle w:val="ListParagraph"/>
        <w:tabs>
          <w:tab w:val="left" w:pos="0"/>
          <w:tab w:val="left" w:pos="540"/>
          <w:tab w:val="left" w:pos="1260"/>
        </w:tabs>
        <w:spacing w:after="0"/>
        <w:ind w:left="0"/>
        <w:jc w:val="both"/>
        <w:rPr>
          <w:rFonts w:ascii="Arial" w:hAnsi="Arial" w:cs="Arial"/>
          <w:color w:val="000000" w:themeColor="text1"/>
        </w:rPr>
      </w:pPr>
    </w:p>
    <w:p w:rsidR="006C1BE5" w:rsidRDefault="00A91862" w:rsidP="001E7F7E">
      <w:pPr>
        <w:pStyle w:val="ListParagraph"/>
        <w:spacing w:after="0" w:afterAutospacing="0"/>
        <w:ind w:left="0"/>
        <w:contextualSpacing w:val="0"/>
        <w:jc w:val="both"/>
        <w:rPr>
          <w:rFonts w:ascii="Arial" w:hAnsi="Arial" w:cs="Arial"/>
        </w:rPr>
      </w:pPr>
      <w:r>
        <w:rPr>
          <w:rFonts w:ascii="Arial" w:hAnsi="Arial" w:cs="Arial"/>
        </w:rPr>
        <w:t>The other significant audit observations and recommendations are as follows:</w:t>
      </w:r>
    </w:p>
    <w:p w:rsidR="0026518A" w:rsidRDefault="0026518A" w:rsidP="001E7F7E">
      <w:pPr>
        <w:pStyle w:val="ListParagraph"/>
        <w:spacing w:after="0" w:afterAutospacing="0"/>
        <w:ind w:left="0"/>
        <w:contextualSpacing w:val="0"/>
        <w:jc w:val="both"/>
        <w:rPr>
          <w:rFonts w:ascii="Arial" w:hAnsi="Arial" w:cs="Arial"/>
        </w:rPr>
      </w:pPr>
    </w:p>
    <w:p w:rsidR="005E3982" w:rsidRPr="005E3982" w:rsidRDefault="005E3982" w:rsidP="00F25DDA">
      <w:pPr>
        <w:pStyle w:val="ListParagraph"/>
        <w:numPr>
          <w:ilvl w:val="0"/>
          <w:numId w:val="33"/>
        </w:numPr>
        <w:spacing w:after="0"/>
        <w:ind w:left="0" w:firstLine="0"/>
        <w:jc w:val="both"/>
      </w:pPr>
      <w:r w:rsidRPr="005E3982">
        <w:rPr>
          <w:rFonts w:ascii="Arial" w:hAnsi="Arial" w:cs="Arial"/>
          <w:szCs w:val="18"/>
          <w:lang w:val="pt-BR"/>
        </w:rPr>
        <w:t xml:space="preserve">The collectibility of the receivables consisting of Due from Officers and Employees and Loans receivable totalling </w:t>
      </w:r>
      <w:r w:rsidRPr="005E3982">
        <w:rPr>
          <w:rFonts w:ascii="Arial" w:hAnsi="Arial" w:cs="Arial"/>
          <w:strike/>
        </w:rPr>
        <w:t>P</w:t>
      </w:r>
      <w:r w:rsidRPr="005E3982">
        <w:rPr>
          <w:rFonts w:ascii="Arial" w:hAnsi="Arial" w:cs="Arial"/>
          <w:szCs w:val="18"/>
          <w:lang w:val="pt-BR"/>
        </w:rPr>
        <w:t>2,012,339.44 or 94% of the total</w:t>
      </w:r>
      <w:r w:rsidRPr="005E3982">
        <w:rPr>
          <w:rFonts w:ascii="Arial" w:hAnsi="Arial" w:cs="Arial"/>
          <w:strike/>
        </w:rPr>
        <w:t>P</w:t>
      </w:r>
      <w:r w:rsidRPr="005E3982">
        <w:rPr>
          <w:rFonts w:ascii="Arial" w:hAnsi="Arial" w:cs="Arial"/>
          <w:szCs w:val="18"/>
          <w:lang w:val="pt-BR"/>
        </w:rPr>
        <w:t>2,107,792.84 as of December 31, 2016 aging from one (1) to ten (10) years remained unsettled despite that most employees concerned are  still active in service with NTA contrary to Section 4(2) of PD 1445 and COA Circular No. 2016-005 dated December 19, 2016.</w:t>
      </w:r>
    </w:p>
    <w:p w:rsidR="005E3982" w:rsidRPr="005E3982" w:rsidRDefault="005E3982" w:rsidP="005E3982">
      <w:pPr>
        <w:pStyle w:val="ListParagraph"/>
        <w:spacing w:after="0"/>
        <w:ind w:left="0"/>
        <w:jc w:val="both"/>
      </w:pPr>
    </w:p>
    <w:p w:rsidR="005E3982" w:rsidRPr="005E3982" w:rsidRDefault="005E3982" w:rsidP="005E3982">
      <w:pPr>
        <w:pStyle w:val="ListParagraph"/>
        <w:numPr>
          <w:ilvl w:val="1"/>
          <w:numId w:val="33"/>
        </w:numPr>
        <w:spacing w:after="0"/>
        <w:ind w:left="0" w:firstLine="0"/>
        <w:jc w:val="both"/>
        <w:rPr>
          <w:rFonts w:ascii="Arial" w:hAnsi="Arial" w:cs="Arial"/>
        </w:rPr>
      </w:pPr>
      <w:r w:rsidRPr="005E3982">
        <w:rPr>
          <w:rFonts w:ascii="Arial" w:hAnsi="Arial" w:cs="Arial"/>
        </w:rPr>
        <w:t>We recommended that Management s</w:t>
      </w:r>
      <w:r w:rsidRPr="005E3982">
        <w:rPr>
          <w:rFonts w:ascii="Arial" w:hAnsi="Arial" w:cs="Arial"/>
          <w:szCs w:val="18"/>
        </w:rPr>
        <w:t>trictly impose collections on receivables from the concerned employees thru payroll deduction with consideration on the ruling of net take home pay. For transportation and representation allowance (RATA) payroll, deductions should always be imposed since this is not covered by the net take home pay ruling.  In the case of employees who were separated/transferred to other agencies, Management must exert all means to collect from them.</w:t>
      </w:r>
    </w:p>
    <w:p w:rsidR="007E350F" w:rsidRPr="007E350F" w:rsidRDefault="007E350F" w:rsidP="00057917">
      <w:pPr>
        <w:pStyle w:val="BodyText"/>
        <w:numPr>
          <w:ilvl w:val="0"/>
          <w:numId w:val="37"/>
        </w:numPr>
        <w:ind w:left="0" w:firstLine="0"/>
        <w:contextualSpacing/>
        <w:jc w:val="both"/>
        <w:rPr>
          <w:rFonts w:cs="Arial"/>
          <w:b w:val="0"/>
          <w:szCs w:val="22"/>
        </w:rPr>
      </w:pPr>
      <w:r w:rsidRPr="007E350F">
        <w:rPr>
          <w:rFonts w:cs="Arial"/>
          <w:b w:val="0"/>
          <w:szCs w:val="22"/>
        </w:rPr>
        <w:t>The low collection efficiency of only P124.032 million or 35.71 per cent out of the estimated collectibles of P347.305 million in CY 2016 on loans receivable particularly dormant accounts were attributed to financial, technical and other issues which include, proceeds from tobacco sales were not enough to cover amortization or used for other priorities; over exposure of borrowers to various loan programs; and damaged crop or poor harvest of tobacco farmers, thus, depriving NTA of the much needed funds in the pursuit of its mandate.</w:t>
      </w:r>
    </w:p>
    <w:p w:rsidR="00471266" w:rsidRPr="008207D1" w:rsidRDefault="00471266" w:rsidP="00471266">
      <w:pPr>
        <w:pStyle w:val="ListParagraph"/>
        <w:ind w:left="0"/>
        <w:jc w:val="both"/>
        <w:rPr>
          <w:rFonts w:ascii="Arial" w:hAnsi="Arial" w:cs="Arial"/>
          <w:bCs/>
          <w:iCs/>
        </w:rPr>
      </w:pPr>
    </w:p>
    <w:p w:rsidR="00A30EA8" w:rsidRPr="00A30EA8" w:rsidRDefault="00A30EA8" w:rsidP="00A30EA8">
      <w:pPr>
        <w:pStyle w:val="ListParagraph"/>
        <w:numPr>
          <w:ilvl w:val="0"/>
          <w:numId w:val="41"/>
        </w:numPr>
        <w:spacing w:after="0"/>
        <w:jc w:val="both"/>
        <w:rPr>
          <w:rFonts w:ascii="Arial" w:hAnsi="Arial" w:cs="Arial"/>
          <w:vanish/>
          <w:color w:val="000000" w:themeColor="text1"/>
        </w:rPr>
      </w:pPr>
    </w:p>
    <w:p w:rsidR="00A30EA8" w:rsidRPr="00A30EA8" w:rsidRDefault="00A30EA8" w:rsidP="00A30EA8">
      <w:pPr>
        <w:pStyle w:val="ListParagraph"/>
        <w:numPr>
          <w:ilvl w:val="0"/>
          <w:numId w:val="41"/>
        </w:numPr>
        <w:spacing w:after="0"/>
        <w:jc w:val="both"/>
        <w:rPr>
          <w:rFonts w:ascii="Arial" w:hAnsi="Arial" w:cs="Arial"/>
          <w:vanish/>
          <w:color w:val="000000" w:themeColor="text1"/>
        </w:rPr>
      </w:pPr>
    </w:p>
    <w:p w:rsidR="00A30EA8" w:rsidRPr="00A30EA8" w:rsidRDefault="00A30EA8" w:rsidP="00A30EA8">
      <w:pPr>
        <w:pStyle w:val="ListParagraph"/>
        <w:numPr>
          <w:ilvl w:val="0"/>
          <w:numId w:val="41"/>
        </w:numPr>
        <w:spacing w:after="0"/>
        <w:jc w:val="both"/>
        <w:rPr>
          <w:rFonts w:ascii="Arial" w:hAnsi="Arial" w:cs="Arial"/>
          <w:vanish/>
          <w:color w:val="000000" w:themeColor="text1"/>
        </w:rPr>
      </w:pPr>
    </w:p>
    <w:p w:rsidR="00A30EA8" w:rsidRPr="00A30EA8" w:rsidRDefault="00A30EA8" w:rsidP="00A30EA8">
      <w:pPr>
        <w:pStyle w:val="ListParagraph"/>
        <w:numPr>
          <w:ilvl w:val="0"/>
          <w:numId w:val="41"/>
        </w:numPr>
        <w:spacing w:after="0"/>
        <w:jc w:val="both"/>
        <w:rPr>
          <w:rFonts w:ascii="Arial" w:hAnsi="Arial" w:cs="Arial"/>
          <w:vanish/>
          <w:color w:val="000000" w:themeColor="text1"/>
        </w:rPr>
      </w:pPr>
    </w:p>
    <w:p w:rsidR="00A30EA8" w:rsidRPr="00A30EA8" w:rsidRDefault="00A30EA8" w:rsidP="00A30EA8">
      <w:pPr>
        <w:pStyle w:val="ListParagraph"/>
        <w:numPr>
          <w:ilvl w:val="0"/>
          <w:numId w:val="41"/>
        </w:numPr>
        <w:spacing w:after="0"/>
        <w:jc w:val="both"/>
        <w:rPr>
          <w:rFonts w:ascii="Arial" w:hAnsi="Arial" w:cs="Arial"/>
          <w:vanish/>
          <w:color w:val="000000" w:themeColor="text1"/>
        </w:rPr>
      </w:pPr>
    </w:p>
    <w:p w:rsidR="00A30EA8" w:rsidRPr="00057917" w:rsidRDefault="008207D1" w:rsidP="00057917">
      <w:pPr>
        <w:pStyle w:val="ListParagraph"/>
        <w:numPr>
          <w:ilvl w:val="1"/>
          <w:numId w:val="41"/>
        </w:numPr>
        <w:spacing w:after="0"/>
        <w:ind w:left="0" w:firstLine="0"/>
        <w:jc w:val="both"/>
        <w:rPr>
          <w:rFonts w:ascii="Arial" w:hAnsi="Arial" w:cs="Arial"/>
          <w:bCs/>
          <w:iCs/>
        </w:rPr>
      </w:pPr>
      <w:r w:rsidRPr="008207D1">
        <w:rPr>
          <w:rFonts w:ascii="Arial" w:hAnsi="Arial" w:cs="Arial"/>
          <w:color w:val="000000" w:themeColor="text1"/>
        </w:rPr>
        <w:t xml:space="preserve">We recommended that Management to (a) Limit to viable and sustainable projects those loans to be extended to farmers to ensure collection; (b) consider granting of loans only to those tobacco-farmers in good credit standing; (c) deduct from the proceeds of a new loan the previous loan balances of farmer-availees to prevent accumulation of arrearages; (d) Continue to intensify collection efforts by involving all the Branch Managers and Extension Workers to go after the delinquent tobacco farmers; </w:t>
      </w:r>
      <w:r w:rsidRPr="00A30EA8">
        <w:rPr>
          <w:rFonts w:ascii="Arial" w:hAnsi="Arial" w:cs="Arial"/>
        </w:rPr>
        <w:t>and (e) File collection suits, if warranted.</w:t>
      </w:r>
    </w:p>
    <w:p w:rsidR="00057917" w:rsidRPr="00057917" w:rsidRDefault="00057917" w:rsidP="00057917">
      <w:pPr>
        <w:pStyle w:val="ListParagraph"/>
        <w:spacing w:after="0"/>
        <w:ind w:left="0"/>
        <w:jc w:val="both"/>
        <w:rPr>
          <w:rFonts w:ascii="Arial" w:hAnsi="Arial" w:cs="Arial"/>
          <w:bCs/>
          <w:iCs/>
        </w:rPr>
      </w:pPr>
    </w:p>
    <w:p w:rsidR="00A30EA8" w:rsidRPr="00A30EA8" w:rsidRDefault="00A30EA8" w:rsidP="00A30EA8">
      <w:pPr>
        <w:pStyle w:val="ListParagraph"/>
        <w:numPr>
          <w:ilvl w:val="0"/>
          <w:numId w:val="37"/>
        </w:numPr>
        <w:ind w:left="0" w:firstLine="0"/>
        <w:jc w:val="both"/>
        <w:rPr>
          <w:rFonts w:ascii="Arial" w:hAnsi="Arial" w:cs="Arial"/>
          <w:bCs/>
          <w:iCs/>
        </w:rPr>
      </w:pPr>
      <w:r w:rsidRPr="00A30EA8">
        <w:rPr>
          <w:rFonts w:ascii="Arial" w:hAnsi="Arial" w:cs="Arial"/>
        </w:rPr>
        <w:t>Funds transferred to fifty-eight (58) LGUs remain unliquidated totaling P188.970 million even if the projects were completed. Likewise, six* (6) approved irrigation projects under Batch 3 amounting to P26.500 million were not implemented in CY 2016.</w:t>
      </w:r>
    </w:p>
    <w:p w:rsidR="00845B2E" w:rsidRPr="00A30EA8" w:rsidRDefault="00845B2E" w:rsidP="00845B2E">
      <w:pPr>
        <w:pStyle w:val="ListParagraph"/>
        <w:ind w:left="0"/>
        <w:jc w:val="both"/>
        <w:rPr>
          <w:rFonts w:ascii="Arial" w:hAnsi="Arial" w:cs="Arial"/>
          <w:bCs/>
          <w:iCs/>
        </w:rPr>
      </w:pPr>
    </w:p>
    <w:p w:rsidR="00057917" w:rsidRPr="00057917" w:rsidRDefault="00057917" w:rsidP="00057917">
      <w:pPr>
        <w:pStyle w:val="ListParagraph"/>
        <w:numPr>
          <w:ilvl w:val="0"/>
          <w:numId w:val="45"/>
        </w:numPr>
        <w:spacing w:after="0"/>
        <w:jc w:val="both"/>
        <w:rPr>
          <w:rFonts w:ascii="Arial" w:hAnsi="Arial" w:cs="Arial"/>
          <w:vanish/>
        </w:rPr>
      </w:pPr>
    </w:p>
    <w:p w:rsidR="00057917" w:rsidRPr="00057917" w:rsidRDefault="00057917" w:rsidP="00057917">
      <w:pPr>
        <w:pStyle w:val="ListParagraph"/>
        <w:numPr>
          <w:ilvl w:val="0"/>
          <w:numId w:val="45"/>
        </w:numPr>
        <w:spacing w:after="0"/>
        <w:jc w:val="both"/>
        <w:rPr>
          <w:rFonts w:ascii="Arial" w:hAnsi="Arial" w:cs="Arial"/>
          <w:vanish/>
        </w:rPr>
      </w:pPr>
    </w:p>
    <w:p w:rsidR="00057917" w:rsidRPr="00057917" w:rsidRDefault="00057917" w:rsidP="00057917">
      <w:pPr>
        <w:pStyle w:val="ListParagraph"/>
        <w:numPr>
          <w:ilvl w:val="0"/>
          <w:numId w:val="45"/>
        </w:numPr>
        <w:spacing w:after="0"/>
        <w:jc w:val="both"/>
        <w:rPr>
          <w:rFonts w:ascii="Arial" w:hAnsi="Arial" w:cs="Arial"/>
          <w:vanish/>
        </w:rPr>
      </w:pPr>
    </w:p>
    <w:p w:rsidR="00057917" w:rsidRPr="00057917" w:rsidRDefault="00057917" w:rsidP="00057917">
      <w:pPr>
        <w:pStyle w:val="ListParagraph"/>
        <w:numPr>
          <w:ilvl w:val="0"/>
          <w:numId w:val="45"/>
        </w:numPr>
        <w:spacing w:after="0"/>
        <w:jc w:val="both"/>
        <w:rPr>
          <w:rFonts w:ascii="Arial" w:hAnsi="Arial" w:cs="Arial"/>
          <w:vanish/>
        </w:rPr>
      </w:pPr>
    </w:p>
    <w:p w:rsidR="00057917" w:rsidRPr="00057917" w:rsidRDefault="00057917" w:rsidP="00057917">
      <w:pPr>
        <w:pStyle w:val="ListParagraph"/>
        <w:numPr>
          <w:ilvl w:val="0"/>
          <w:numId w:val="45"/>
        </w:numPr>
        <w:spacing w:after="0"/>
        <w:jc w:val="both"/>
        <w:rPr>
          <w:rFonts w:ascii="Arial" w:hAnsi="Arial" w:cs="Arial"/>
          <w:vanish/>
        </w:rPr>
      </w:pPr>
    </w:p>
    <w:p w:rsidR="00057917" w:rsidRPr="00057917" w:rsidRDefault="00057917" w:rsidP="00057917">
      <w:pPr>
        <w:pStyle w:val="ListParagraph"/>
        <w:numPr>
          <w:ilvl w:val="0"/>
          <w:numId w:val="45"/>
        </w:numPr>
        <w:spacing w:after="0"/>
        <w:jc w:val="both"/>
        <w:rPr>
          <w:rFonts w:ascii="Arial" w:hAnsi="Arial" w:cs="Arial"/>
          <w:vanish/>
        </w:rPr>
      </w:pPr>
    </w:p>
    <w:p w:rsidR="00673C27" w:rsidRPr="00A30EA8" w:rsidRDefault="00673C27" w:rsidP="00057917">
      <w:pPr>
        <w:pStyle w:val="ListParagraph"/>
        <w:numPr>
          <w:ilvl w:val="1"/>
          <w:numId w:val="45"/>
        </w:numPr>
        <w:spacing w:after="0"/>
        <w:ind w:left="0" w:firstLine="0"/>
        <w:jc w:val="both"/>
        <w:rPr>
          <w:rFonts w:ascii="Arial" w:hAnsi="Arial" w:cs="Arial"/>
          <w:bCs/>
          <w:iCs/>
        </w:rPr>
      </w:pPr>
      <w:r w:rsidRPr="00A30EA8">
        <w:rPr>
          <w:rFonts w:ascii="Arial" w:hAnsi="Arial" w:cs="Arial"/>
        </w:rPr>
        <w:t>We recommended that Management send Demand Letters to LGUs with unliquidated fund balances for completed irrigation projects as of audit date.</w:t>
      </w:r>
    </w:p>
    <w:p w:rsidR="00D218B4" w:rsidRDefault="00D218B4" w:rsidP="00DA3DA9">
      <w:pPr>
        <w:pStyle w:val="ListParagraph"/>
        <w:ind w:left="0"/>
        <w:jc w:val="both"/>
        <w:rPr>
          <w:rFonts w:ascii="Arial" w:hAnsi="Arial" w:cs="Arial"/>
          <w:bCs/>
          <w:iCs/>
          <w:color w:val="0070C0"/>
        </w:rPr>
      </w:pPr>
    </w:p>
    <w:p w:rsidR="00A30EA8" w:rsidRPr="00057917" w:rsidRDefault="00A30EA8" w:rsidP="00057917">
      <w:pPr>
        <w:pStyle w:val="ListParagraph"/>
        <w:numPr>
          <w:ilvl w:val="0"/>
          <w:numId w:val="37"/>
        </w:numPr>
        <w:spacing w:after="0" w:afterAutospacing="0"/>
        <w:ind w:left="0" w:firstLine="0"/>
        <w:contextualSpacing w:val="0"/>
        <w:jc w:val="both"/>
        <w:rPr>
          <w:rFonts w:ascii="Arial" w:hAnsi="Arial" w:cs="Arial"/>
        </w:rPr>
      </w:pPr>
      <w:r w:rsidRPr="00A30EA8">
        <w:rPr>
          <w:rFonts w:ascii="Arial" w:hAnsi="Arial" w:cs="Arial"/>
        </w:rPr>
        <w:t xml:space="preserve">Unutilized/unexpended portion of the irrigation funds transferred to LGUs totaling P398,353.67were not refunded/reverted back to the Bureau of Treasury (BTr) by NTA despite the completion of the irrigation projects contrary to COA Circular No. 94-013 dated December 13, 1994. </w:t>
      </w:r>
    </w:p>
    <w:p w:rsidR="00A30EA8" w:rsidRPr="00A30EA8" w:rsidRDefault="00A30EA8" w:rsidP="00DA3DA9">
      <w:pPr>
        <w:pStyle w:val="ListParagraph"/>
        <w:ind w:left="0"/>
        <w:jc w:val="both"/>
        <w:rPr>
          <w:rFonts w:ascii="Arial" w:hAnsi="Arial" w:cs="Arial"/>
          <w:bCs/>
          <w:iCs/>
          <w:color w:val="0070C0"/>
        </w:rPr>
      </w:pPr>
    </w:p>
    <w:p w:rsidR="00A30EA8" w:rsidRPr="00A30EA8" w:rsidRDefault="00A30EA8" w:rsidP="00A30EA8">
      <w:pPr>
        <w:pStyle w:val="ListParagraph"/>
        <w:numPr>
          <w:ilvl w:val="0"/>
          <w:numId w:val="45"/>
        </w:numPr>
        <w:spacing w:after="0"/>
        <w:jc w:val="both"/>
        <w:rPr>
          <w:rFonts w:ascii="Arial" w:hAnsi="Arial" w:cs="Arial"/>
          <w:vanish/>
        </w:rPr>
      </w:pPr>
    </w:p>
    <w:p w:rsidR="00A30EA8" w:rsidRPr="00057917" w:rsidRDefault="00A30EA8" w:rsidP="00A30EA8">
      <w:pPr>
        <w:pStyle w:val="ListParagraph"/>
        <w:numPr>
          <w:ilvl w:val="1"/>
          <w:numId w:val="45"/>
        </w:numPr>
        <w:spacing w:after="0"/>
        <w:ind w:left="0" w:firstLine="0"/>
        <w:jc w:val="both"/>
        <w:rPr>
          <w:rFonts w:ascii="Arial" w:hAnsi="Arial" w:cs="Arial"/>
          <w:bCs/>
          <w:iCs/>
          <w:color w:val="0070C0"/>
        </w:rPr>
      </w:pPr>
      <w:r w:rsidRPr="00A30EA8">
        <w:rPr>
          <w:rFonts w:ascii="Arial" w:hAnsi="Arial" w:cs="Arial"/>
        </w:rPr>
        <w:t>In view of the foregoing, we recommend that Management revert back to the Bureau of Treasury (BTr) the unutilized/unspent balances of funds, in compliance with Item 4.9 of COA Circular No. 94-013 dated December 13, 1994.</w:t>
      </w:r>
    </w:p>
    <w:p w:rsidR="00057917" w:rsidRPr="00057917" w:rsidRDefault="00057917" w:rsidP="00057917">
      <w:pPr>
        <w:pStyle w:val="ListParagraph"/>
        <w:spacing w:after="0"/>
        <w:ind w:left="0"/>
        <w:jc w:val="both"/>
        <w:rPr>
          <w:rFonts w:ascii="Arial" w:hAnsi="Arial" w:cs="Arial"/>
          <w:bCs/>
          <w:iCs/>
          <w:color w:val="0070C0"/>
        </w:rPr>
      </w:pPr>
    </w:p>
    <w:p w:rsidR="00A82E5A" w:rsidRPr="00A82E5A" w:rsidRDefault="00A82E5A" w:rsidP="00A82E5A">
      <w:pPr>
        <w:pStyle w:val="ListParagraph"/>
        <w:numPr>
          <w:ilvl w:val="0"/>
          <w:numId w:val="37"/>
        </w:numPr>
        <w:ind w:left="0" w:firstLine="0"/>
        <w:jc w:val="both"/>
        <w:rPr>
          <w:rFonts w:ascii="Arial" w:hAnsi="Arial" w:cs="Arial"/>
        </w:rPr>
      </w:pPr>
      <w:bookmarkStart w:id="1" w:name="_Hlk481561288"/>
      <w:r w:rsidRPr="00A82E5A">
        <w:rPr>
          <w:rFonts w:ascii="Arial" w:hAnsi="Arial" w:cs="Arial"/>
        </w:rPr>
        <w:t xml:space="preserve">Piglet and feed requirements for the Hog Fattening Project with a total cost of </w:t>
      </w:r>
      <w:r w:rsidRPr="00A82E5A">
        <w:rPr>
          <w:rFonts w:ascii="Arial" w:hAnsi="Arial" w:cs="Arial"/>
          <w:bCs/>
          <w:lang w:eastAsia="en-PH"/>
        </w:rPr>
        <w:t>₱</w:t>
      </w:r>
      <w:r w:rsidRPr="00A82E5A">
        <w:rPr>
          <w:rFonts w:ascii="Arial" w:hAnsi="Arial" w:cs="Arial"/>
        </w:rPr>
        <w:t xml:space="preserve"> 26.306 million were purchased from URC without undergoing the normal government procurement process requiring the conduct of competitive bidding which is not beneficial to the hog growers due to the additional cost of freight of piglets and feeds that were passed to the farmers;  losses assumed by hog growers due to the absence of warranty that could have answered for the replacement of piglets that died within 0-14 days from date of delivery;  purchase discount and appropriate tax not withheld on gross payments, hence, there is no guarantee that the availed price and quality of procured items serve the best interest of both hog growers and the government. </w:t>
      </w:r>
    </w:p>
    <w:p w:rsidR="00A82E5A" w:rsidRPr="00A82E5A" w:rsidRDefault="00A82E5A" w:rsidP="00A82E5A">
      <w:pPr>
        <w:numPr>
          <w:ilvl w:val="1"/>
          <w:numId w:val="46"/>
        </w:numPr>
        <w:spacing w:after="0" w:line="240" w:lineRule="auto"/>
        <w:ind w:left="0" w:firstLine="0"/>
        <w:jc w:val="both"/>
        <w:rPr>
          <w:color w:val="auto"/>
        </w:rPr>
      </w:pPr>
      <w:r w:rsidRPr="00A82E5A">
        <w:rPr>
          <w:color w:val="auto"/>
        </w:rPr>
        <w:t xml:space="preserve">We recommended Management to suspend the release of loan proceeds to hog growers, allocated for the procurement of piglets and feeds. Instead, AgriPinoy shall utilize the fund to procure the necessary hog production requirements thru competitive bidding that includes the package of piglets and feeds, to allow various suppliers to participate in providing the price quotation most advantageous to the hog growers and the government. </w:t>
      </w:r>
    </w:p>
    <w:p w:rsidR="00A82E5A" w:rsidRPr="00A82E5A" w:rsidRDefault="00A82E5A" w:rsidP="00A82E5A">
      <w:pPr>
        <w:pStyle w:val="ListParagraph"/>
        <w:spacing w:after="0"/>
        <w:ind w:left="0"/>
        <w:jc w:val="both"/>
        <w:rPr>
          <w:rFonts w:ascii="Arial" w:hAnsi="Arial" w:cs="Arial"/>
          <w:bCs/>
          <w:iCs/>
        </w:rPr>
      </w:pPr>
    </w:p>
    <w:p w:rsidR="00A82E5A" w:rsidRPr="00A82E5A" w:rsidRDefault="00A82E5A" w:rsidP="00A82E5A">
      <w:pPr>
        <w:pStyle w:val="ListParagraph"/>
        <w:ind w:left="0"/>
        <w:jc w:val="both"/>
        <w:rPr>
          <w:rFonts w:ascii="Arial" w:hAnsi="Arial" w:cs="Arial"/>
        </w:rPr>
      </w:pPr>
    </w:p>
    <w:bookmarkEnd w:id="1"/>
    <w:p w:rsidR="00057917" w:rsidRPr="00057917" w:rsidRDefault="00057917" w:rsidP="00057917">
      <w:pPr>
        <w:pStyle w:val="ListParagraph"/>
        <w:numPr>
          <w:ilvl w:val="0"/>
          <w:numId w:val="37"/>
        </w:numPr>
        <w:spacing w:after="0" w:afterAutospacing="0"/>
        <w:ind w:left="0" w:firstLine="0"/>
        <w:jc w:val="both"/>
        <w:rPr>
          <w:rFonts w:ascii="Arial" w:hAnsi="Arial" w:cs="Arial"/>
          <w:bCs/>
          <w:iCs/>
        </w:rPr>
      </w:pPr>
      <w:r w:rsidRPr="00A30EA8">
        <w:rPr>
          <w:rFonts w:ascii="Arial" w:hAnsi="Arial" w:cs="Arial"/>
        </w:rPr>
        <w:t xml:space="preserve">Losses on spoilage and shrinkage of live hogs and meat products were not recognized during the year, non-compliant to Philippine Public Sector Accounting Standard 12, thus understating Loss by P 3,396,665.70 and overstating Raw Materials-Hogs and Finished Goods by </w:t>
      </w:r>
      <w:r w:rsidRPr="00A30EA8">
        <w:rPr>
          <w:rFonts w:ascii="Arial" w:hAnsi="Arial" w:cs="Arial"/>
          <w:bCs/>
          <w:lang w:eastAsia="en-PH"/>
        </w:rPr>
        <w:t xml:space="preserve">₱ </w:t>
      </w:r>
      <w:r w:rsidRPr="00A30EA8">
        <w:rPr>
          <w:rFonts w:ascii="Arial" w:hAnsi="Arial" w:cs="Arial"/>
        </w:rPr>
        <w:t>1,898,613.40 and ₱1,498,052.30, respectively.</w:t>
      </w:r>
    </w:p>
    <w:p w:rsidR="00057917" w:rsidRPr="00A30EA8" w:rsidRDefault="00057917" w:rsidP="00057917">
      <w:pPr>
        <w:pStyle w:val="ListParagraph"/>
        <w:ind w:left="0"/>
        <w:jc w:val="both"/>
        <w:rPr>
          <w:rFonts w:ascii="Arial" w:hAnsi="Arial" w:cs="Arial"/>
          <w:bCs/>
          <w:iCs/>
        </w:rPr>
      </w:pPr>
    </w:p>
    <w:p w:rsidR="00F844D7" w:rsidRPr="00F844D7" w:rsidRDefault="00F844D7" w:rsidP="00F844D7">
      <w:pPr>
        <w:pStyle w:val="ListParagraph"/>
        <w:numPr>
          <w:ilvl w:val="0"/>
          <w:numId w:val="46"/>
        </w:numPr>
        <w:spacing w:after="0"/>
        <w:jc w:val="both"/>
        <w:rPr>
          <w:rFonts w:ascii="Arial" w:hAnsi="Arial" w:cs="Arial"/>
          <w:vanish/>
        </w:rPr>
      </w:pPr>
    </w:p>
    <w:p w:rsidR="00057917" w:rsidRPr="00057917" w:rsidRDefault="00057917" w:rsidP="00F844D7">
      <w:pPr>
        <w:pStyle w:val="ListParagraph"/>
        <w:numPr>
          <w:ilvl w:val="1"/>
          <w:numId w:val="46"/>
        </w:numPr>
        <w:spacing w:after="0"/>
        <w:ind w:left="0" w:firstLine="0"/>
        <w:jc w:val="both"/>
        <w:rPr>
          <w:rFonts w:ascii="Arial" w:hAnsi="Arial" w:cs="Arial"/>
          <w:bCs/>
          <w:iCs/>
        </w:rPr>
      </w:pPr>
      <w:r w:rsidRPr="00057917">
        <w:rPr>
          <w:rFonts w:ascii="Arial" w:hAnsi="Arial" w:cs="Arial"/>
        </w:rPr>
        <w:t xml:space="preserve">We recommended and Management agreed that necessary accounting entry recognizing the shrinkage be recorded by the Accountant and likewise the recognition of impairment loss. </w:t>
      </w:r>
    </w:p>
    <w:p w:rsidR="00057917" w:rsidRPr="00A30EA8" w:rsidRDefault="00057917" w:rsidP="00057917">
      <w:pPr>
        <w:pStyle w:val="ListParagraph"/>
        <w:numPr>
          <w:ilvl w:val="0"/>
          <w:numId w:val="43"/>
        </w:numPr>
        <w:spacing w:after="0"/>
        <w:jc w:val="both"/>
        <w:rPr>
          <w:rFonts w:ascii="Arial" w:hAnsi="Arial" w:cs="Arial"/>
          <w:vanish/>
        </w:rPr>
      </w:pPr>
    </w:p>
    <w:p w:rsidR="00057917" w:rsidRPr="00A30EA8" w:rsidRDefault="00057917" w:rsidP="00057917">
      <w:pPr>
        <w:pStyle w:val="ListParagraph"/>
        <w:numPr>
          <w:ilvl w:val="0"/>
          <w:numId w:val="43"/>
        </w:numPr>
        <w:spacing w:after="0"/>
        <w:jc w:val="both"/>
        <w:rPr>
          <w:rFonts w:ascii="Arial" w:hAnsi="Arial" w:cs="Arial"/>
          <w:vanish/>
        </w:rPr>
      </w:pPr>
    </w:p>
    <w:p w:rsidR="00057917" w:rsidRPr="00A30EA8" w:rsidRDefault="00057917" w:rsidP="00057917">
      <w:pPr>
        <w:pStyle w:val="ListParagraph"/>
        <w:numPr>
          <w:ilvl w:val="0"/>
          <w:numId w:val="43"/>
        </w:numPr>
        <w:spacing w:after="0"/>
        <w:jc w:val="both"/>
        <w:rPr>
          <w:rFonts w:ascii="Arial" w:hAnsi="Arial" w:cs="Arial"/>
          <w:vanish/>
        </w:rPr>
      </w:pPr>
    </w:p>
    <w:p w:rsidR="00057917" w:rsidRPr="00A30EA8" w:rsidRDefault="00057917" w:rsidP="00057917">
      <w:pPr>
        <w:pStyle w:val="ListParagraph"/>
        <w:numPr>
          <w:ilvl w:val="0"/>
          <w:numId w:val="43"/>
        </w:numPr>
        <w:spacing w:after="0"/>
        <w:jc w:val="both"/>
        <w:rPr>
          <w:rFonts w:ascii="Arial" w:hAnsi="Arial" w:cs="Arial"/>
          <w:vanish/>
        </w:rPr>
      </w:pPr>
    </w:p>
    <w:p w:rsidR="00057917" w:rsidRPr="00A30EA8" w:rsidRDefault="00057917" w:rsidP="00057917">
      <w:pPr>
        <w:pStyle w:val="ListParagraph"/>
        <w:numPr>
          <w:ilvl w:val="0"/>
          <w:numId w:val="43"/>
        </w:numPr>
        <w:spacing w:after="0"/>
        <w:jc w:val="both"/>
        <w:rPr>
          <w:rFonts w:ascii="Arial" w:hAnsi="Arial" w:cs="Arial"/>
          <w:vanish/>
        </w:rPr>
      </w:pPr>
    </w:p>
    <w:p w:rsidR="00057917" w:rsidRPr="00A30EA8" w:rsidRDefault="00057917" w:rsidP="00057917">
      <w:pPr>
        <w:pStyle w:val="ListParagraph"/>
        <w:numPr>
          <w:ilvl w:val="0"/>
          <w:numId w:val="43"/>
        </w:numPr>
        <w:spacing w:after="0"/>
        <w:jc w:val="both"/>
        <w:rPr>
          <w:rFonts w:ascii="Arial" w:hAnsi="Arial" w:cs="Arial"/>
          <w:vanish/>
        </w:rPr>
      </w:pPr>
    </w:p>
    <w:p w:rsidR="00057917" w:rsidRPr="00057917" w:rsidRDefault="00057917" w:rsidP="00057917">
      <w:pPr>
        <w:spacing w:after="0" w:line="240" w:lineRule="auto"/>
        <w:jc w:val="both"/>
        <w:rPr>
          <w:bCs/>
          <w:iCs/>
        </w:rPr>
      </w:pPr>
    </w:p>
    <w:p w:rsidR="00A82E5A" w:rsidRDefault="00A82E5A" w:rsidP="00F844D7">
      <w:pPr>
        <w:pStyle w:val="ListParagraph"/>
        <w:numPr>
          <w:ilvl w:val="0"/>
          <w:numId w:val="37"/>
        </w:numPr>
        <w:ind w:left="0" w:firstLine="0"/>
        <w:jc w:val="both"/>
        <w:rPr>
          <w:rFonts w:ascii="Arial" w:hAnsi="Arial" w:cs="Arial"/>
        </w:rPr>
      </w:pPr>
      <w:r w:rsidRPr="00F844D7">
        <w:rPr>
          <w:rFonts w:ascii="Arial" w:hAnsi="Arial" w:cs="Arial"/>
        </w:rPr>
        <w:t>Poor planning and execution of the Tobacco Dust Production Agribusiness Project (TDPP) resulted in the continuous incurrence of loss which already reached P 18,003,004.22 since it started operations in 2009, thus the ability to continue as going concern is threatened.</w:t>
      </w:r>
    </w:p>
    <w:p w:rsidR="00F844D7" w:rsidRPr="00F844D7" w:rsidRDefault="00F844D7" w:rsidP="00F844D7">
      <w:pPr>
        <w:pStyle w:val="ListParagraph"/>
        <w:ind w:left="0"/>
        <w:jc w:val="both"/>
        <w:rPr>
          <w:rFonts w:ascii="Arial" w:hAnsi="Arial" w:cs="Arial"/>
        </w:rPr>
      </w:pPr>
    </w:p>
    <w:p w:rsidR="00D46E0D" w:rsidRPr="00F844D7" w:rsidRDefault="00F844D7" w:rsidP="001E7F7E">
      <w:pPr>
        <w:pStyle w:val="ListParagraph"/>
        <w:numPr>
          <w:ilvl w:val="1"/>
          <w:numId w:val="48"/>
        </w:numPr>
        <w:spacing w:after="0"/>
        <w:ind w:left="0" w:firstLine="0"/>
        <w:jc w:val="both"/>
        <w:rPr>
          <w:rFonts w:ascii="Arial" w:hAnsi="Arial" w:cs="Arial"/>
          <w:bCs/>
          <w:iCs/>
        </w:rPr>
      </w:pPr>
      <w:r w:rsidRPr="00F844D7">
        <w:rPr>
          <w:rFonts w:ascii="Arial" w:hAnsi="Arial" w:cs="Arial"/>
        </w:rPr>
        <w:t xml:space="preserve">We recommended that Management: (a) Thorough evaluation of the operations of the Plant and consider the possibility of shutting down the plant to reduce the incurrence of additional cost and expenses especially the manufacturing overhead costs; and (b) Develop alternative business proposals for the tobacco dust plant in the event that it will no longer pursue its operation such as offer for lease or disposal of the plant so as not to waste government funds and property. </w:t>
      </w:r>
    </w:p>
    <w:p w:rsidR="004116A6" w:rsidRDefault="004116A6" w:rsidP="001E7F7E">
      <w:pPr>
        <w:pStyle w:val="ListParagraph"/>
        <w:spacing w:after="0" w:afterAutospacing="0"/>
        <w:ind w:left="0"/>
        <w:contextualSpacing w:val="0"/>
        <w:jc w:val="both"/>
        <w:rPr>
          <w:rFonts w:ascii="Arial" w:hAnsi="Arial" w:cs="Arial"/>
        </w:rPr>
      </w:pPr>
    </w:p>
    <w:p w:rsidR="004116A6" w:rsidRDefault="004116A6" w:rsidP="001E7F7E">
      <w:pPr>
        <w:pStyle w:val="ListParagraph"/>
        <w:spacing w:after="0" w:afterAutospacing="0"/>
        <w:ind w:left="0"/>
        <w:contextualSpacing w:val="0"/>
        <w:jc w:val="both"/>
        <w:rPr>
          <w:rFonts w:ascii="Arial" w:hAnsi="Arial" w:cs="Arial"/>
        </w:rPr>
      </w:pPr>
    </w:p>
    <w:p w:rsidR="001E7F7E" w:rsidRPr="003E31E0" w:rsidRDefault="00B4582A" w:rsidP="001E7F7E">
      <w:pPr>
        <w:pStyle w:val="ListParagraph"/>
        <w:spacing w:after="0" w:afterAutospacing="0"/>
        <w:ind w:left="0"/>
        <w:contextualSpacing w:val="0"/>
        <w:jc w:val="both"/>
        <w:rPr>
          <w:rFonts w:ascii="Arial" w:hAnsi="Arial" w:cs="Arial"/>
          <w:b/>
        </w:rPr>
      </w:pPr>
      <w:r w:rsidRPr="003E31E0">
        <w:rPr>
          <w:rFonts w:ascii="Arial" w:hAnsi="Arial" w:cs="Arial"/>
          <w:b/>
        </w:rPr>
        <w:t xml:space="preserve">AUDIT </w:t>
      </w:r>
      <w:r w:rsidR="001E7F7E" w:rsidRPr="003E31E0">
        <w:rPr>
          <w:rFonts w:ascii="Arial" w:hAnsi="Arial" w:cs="Arial"/>
          <w:b/>
        </w:rPr>
        <w:t>DISALLOWANCE</w:t>
      </w:r>
      <w:r w:rsidRPr="003E31E0">
        <w:rPr>
          <w:rFonts w:ascii="Arial" w:hAnsi="Arial" w:cs="Arial"/>
          <w:b/>
        </w:rPr>
        <w:t>S</w:t>
      </w:r>
      <w:r w:rsidR="001E7F7E" w:rsidRPr="003E31E0">
        <w:rPr>
          <w:rFonts w:ascii="Arial" w:hAnsi="Arial" w:cs="Arial"/>
          <w:b/>
        </w:rPr>
        <w:t>, CHARGES AND SUSPENSIONS</w:t>
      </w:r>
    </w:p>
    <w:p w:rsidR="000F2A3C" w:rsidRPr="003E31E0" w:rsidRDefault="000F2A3C" w:rsidP="000F2A3C">
      <w:pPr>
        <w:pStyle w:val="ListParagraph"/>
        <w:spacing w:after="0" w:afterAutospacing="0"/>
        <w:ind w:left="0"/>
        <w:contextualSpacing w:val="0"/>
        <w:jc w:val="both"/>
        <w:rPr>
          <w:rFonts w:ascii="Arial" w:hAnsi="Arial" w:cs="Arial"/>
        </w:rPr>
      </w:pPr>
    </w:p>
    <w:p w:rsidR="00B4582A" w:rsidRDefault="00574926" w:rsidP="000F2A3C">
      <w:pPr>
        <w:pStyle w:val="ListParagraph"/>
        <w:spacing w:after="0" w:afterAutospacing="0"/>
        <w:ind w:left="0"/>
        <w:contextualSpacing w:val="0"/>
        <w:jc w:val="both"/>
        <w:rPr>
          <w:rFonts w:ascii="Arial" w:hAnsi="Arial" w:cs="Arial"/>
        </w:rPr>
      </w:pPr>
      <w:r w:rsidRPr="00BC0645">
        <w:rPr>
          <w:rFonts w:ascii="Arial" w:hAnsi="Arial" w:cs="Arial"/>
        </w:rPr>
        <w:t>The unsettled audit disallowances</w:t>
      </w:r>
      <w:r>
        <w:rPr>
          <w:rFonts w:ascii="Arial" w:hAnsi="Arial" w:cs="Arial"/>
        </w:rPr>
        <w:t>, notice of charge</w:t>
      </w:r>
      <w:r w:rsidRPr="00BC0645">
        <w:rPr>
          <w:rFonts w:ascii="Arial" w:hAnsi="Arial" w:cs="Arial"/>
        </w:rPr>
        <w:t xml:space="preserve"> and suspensions as of</w:t>
      </w:r>
      <w:r>
        <w:rPr>
          <w:rFonts w:ascii="Arial" w:hAnsi="Arial" w:cs="Arial"/>
        </w:rPr>
        <w:t xml:space="preserve"> December 31, 2016 </w:t>
      </w:r>
      <w:r w:rsidRPr="00BC0645">
        <w:rPr>
          <w:rFonts w:ascii="Arial" w:hAnsi="Arial" w:cs="Arial"/>
        </w:rPr>
        <w:t xml:space="preserve">totaled to </w:t>
      </w:r>
      <w:r w:rsidRPr="00651606">
        <w:rPr>
          <w:rFonts w:ascii="Arial" w:hAnsi="Arial" w:cs="Arial"/>
        </w:rPr>
        <w:t>P</w:t>
      </w:r>
      <w:r>
        <w:rPr>
          <w:rFonts w:ascii="Arial" w:hAnsi="Arial" w:cs="Arial"/>
          <w:lang w:eastAsia="en-PH"/>
        </w:rPr>
        <w:t>36.</w:t>
      </w:r>
      <w:r w:rsidRPr="00651606">
        <w:rPr>
          <w:rFonts w:ascii="Arial" w:hAnsi="Arial" w:cs="Arial"/>
          <w:lang w:eastAsia="en-PH"/>
        </w:rPr>
        <w:t>18</w:t>
      </w:r>
      <w:r>
        <w:rPr>
          <w:rFonts w:ascii="Arial" w:hAnsi="Arial" w:cs="Arial"/>
          <w:lang w:eastAsia="en-PH"/>
        </w:rPr>
        <w:t xml:space="preserve">5 </w:t>
      </w:r>
      <w:r w:rsidRPr="00651606">
        <w:rPr>
          <w:rFonts w:ascii="Arial" w:hAnsi="Arial" w:cs="Arial"/>
        </w:rPr>
        <w:t xml:space="preserve">million, P 60,280 and </w:t>
      </w:r>
      <w:r w:rsidRPr="00651606">
        <w:rPr>
          <w:rFonts w:ascii="Arial" w:hAnsi="Arial" w:cs="Arial"/>
          <w:color w:val="000000"/>
          <w:lang w:eastAsia="en-PH"/>
        </w:rPr>
        <w:t xml:space="preserve">P </w:t>
      </w:r>
      <w:r>
        <w:rPr>
          <w:rFonts w:ascii="Arial" w:hAnsi="Arial" w:cs="Arial"/>
          <w:color w:val="000000"/>
          <w:lang w:eastAsia="en-PH"/>
        </w:rPr>
        <w:t>400.</w:t>
      </w:r>
      <w:r w:rsidRPr="00651606">
        <w:rPr>
          <w:rFonts w:ascii="Arial" w:hAnsi="Arial" w:cs="Arial"/>
          <w:color w:val="000000"/>
          <w:lang w:eastAsia="en-PH"/>
        </w:rPr>
        <w:t>33</w:t>
      </w:r>
      <w:r>
        <w:rPr>
          <w:rFonts w:ascii="Arial" w:hAnsi="Arial" w:cs="Arial"/>
          <w:color w:val="000000"/>
          <w:lang w:eastAsia="en-PH"/>
        </w:rPr>
        <w:t>9</w:t>
      </w:r>
      <w:r w:rsidRPr="00BC0645">
        <w:rPr>
          <w:rFonts w:ascii="Arial" w:hAnsi="Arial" w:cs="Arial"/>
        </w:rPr>
        <w:t xml:space="preserve">million, respectively; the details and status </w:t>
      </w:r>
      <w:r w:rsidR="0093762B">
        <w:rPr>
          <w:rFonts w:ascii="Arial" w:hAnsi="Arial" w:cs="Arial"/>
        </w:rPr>
        <w:t>presented in Par</w:t>
      </w:r>
      <w:r w:rsidR="002E2D34">
        <w:rPr>
          <w:rFonts w:ascii="Arial" w:hAnsi="Arial" w:cs="Arial"/>
        </w:rPr>
        <w:t xml:space="preserve">t IV - Annex C of this report. </w:t>
      </w:r>
    </w:p>
    <w:p w:rsidR="00A36DA1" w:rsidRPr="003E31E0" w:rsidRDefault="00A36DA1" w:rsidP="000F2A3C">
      <w:pPr>
        <w:pStyle w:val="ListParagraph"/>
        <w:spacing w:after="0" w:afterAutospacing="0"/>
        <w:ind w:left="0"/>
        <w:contextualSpacing w:val="0"/>
        <w:jc w:val="both"/>
        <w:rPr>
          <w:rFonts w:ascii="Arial" w:hAnsi="Arial" w:cs="Arial"/>
        </w:rPr>
      </w:pPr>
    </w:p>
    <w:p w:rsidR="00EB458D" w:rsidRPr="003E31E0" w:rsidRDefault="00EB458D" w:rsidP="000F2A3C">
      <w:pPr>
        <w:pStyle w:val="ListParagraph"/>
        <w:spacing w:after="0" w:afterAutospacing="0"/>
        <w:ind w:left="0"/>
        <w:contextualSpacing w:val="0"/>
        <w:jc w:val="both"/>
        <w:rPr>
          <w:rFonts w:ascii="Arial" w:hAnsi="Arial" w:cs="Arial"/>
          <w:b/>
        </w:rPr>
      </w:pPr>
      <w:r w:rsidRPr="003E31E0">
        <w:rPr>
          <w:rFonts w:ascii="Arial" w:hAnsi="Arial" w:cs="Arial"/>
          <w:b/>
        </w:rPr>
        <w:t>STATUS OF IMPLEMENTATION BY THE AUDITEE OF PRIOR YEARS’ AUDIT RECOMMENDATIONS</w:t>
      </w:r>
    </w:p>
    <w:p w:rsidR="00EB458D" w:rsidRPr="003E31E0" w:rsidRDefault="00EB458D" w:rsidP="000F2A3C">
      <w:pPr>
        <w:pStyle w:val="ListParagraph"/>
        <w:spacing w:after="0" w:afterAutospacing="0"/>
        <w:ind w:left="0"/>
        <w:contextualSpacing w:val="0"/>
        <w:jc w:val="both"/>
        <w:rPr>
          <w:rFonts w:ascii="Arial" w:hAnsi="Arial" w:cs="Arial"/>
          <w:b/>
        </w:rPr>
      </w:pPr>
    </w:p>
    <w:p w:rsidR="00EB458D" w:rsidRDefault="00EB458D" w:rsidP="000F2A3C">
      <w:pPr>
        <w:pStyle w:val="ListParagraph"/>
        <w:spacing w:after="0" w:afterAutospacing="0"/>
        <w:ind w:left="0"/>
        <w:contextualSpacing w:val="0"/>
        <w:jc w:val="both"/>
        <w:rPr>
          <w:rFonts w:ascii="Arial" w:hAnsi="Arial" w:cs="Arial"/>
        </w:rPr>
      </w:pPr>
      <w:r w:rsidRPr="00C91080">
        <w:rPr>
          <w:rFonts w:ascii="Arial" w:hAnsi="Arial" w:cs="Arial"/>
        </w:rPr>
        <w:t xml:space="preserve">Out of the </w:t>
      </w:r>
      <w:r w:rsidR="00E61DEE">
        <w:rPr>
          <w:rFonts w:ascii="Arial" w:hAnsi="Arial" w:cs="Arial"/>
        </w:rPr>
        <w:t>34</w:t>
      </w:r>
      <w:r w:rsidRPr="00C91080">
        <w:rPr>
          <w:rFonts w:ascii="Arial" w:hAnsi="Arial" w:cs="Arial"/>
        </w:rPr>
        <w:t xml:space="preserve"> audit recommendations embodied in the previous years’ Annual Audit Reports, </w:t>
      </w:r>
      <w:r w:rsidR="00E61DEE">
        <w:rPr>
          <w:rFonts w:ascii="Arial" w:hAnsi="Arial" w:cs="Arial"/>
        </w:rPr>
        <w:t>8</w:t>
      </w:r>
      <w:r w:rsidRPr="00C91080">
        <w:rPr>
          <w:rFonts w:ascii="Arial" w:hAnsi="Arial" w:cs="Arial"/>
        </w:rPr>
        <w:t xml:space="preserve"> were fully implemented, </w:t>
      </w:r>
      <w:r w:rsidR="00E61DEE">
        <w:rPr>
          <w:rFonts w:ascii="Arial" w:hAnsi="Arial" w:cs="Arial"/>
        </w:rPr>
        <w:t>13</w:t>
      </w:r>
      <w:r w:rsidRPr="00C91080">
        <w:rPr>
          <w:rFonts w:ascii="Arial" w:hAnsi="Arial" w:cs="Arial"/>
        </w:rPr>
        <w:t xml:space="preserve"> were partially implemented and </w:t>
      </w:r>
      <w:r w:rsidR="00E61DEE">
        <w:rPr>
          <w:rFonts w:ascii="Arial" w:hAnsi="Arial" w:cs="Arial"/>
        </w:rPr>
        <w:t>13</w:t>
      </w:r>
      <w:r w:rsidRPr="00C91080">
        <w:rPr>
          <w:rFonts w:ascii="Arial" w:hAnsi="Arial" w:cs="Arial"/>
        </w:rPr>
        <w:t xml:space="preserve"> were not implemented. Details are presented in Part III of this report.</w:t>
      </w:r>
    </w:p>
    <w:p w:rsidR="00574926" w:rsidRDefault="00574926" w:rsidP="000F2A3C">
      <w:pPr>
        <w:pStyle w:val="ListParagraph"/>
        <w:spacing w:after="0" w:afterAutospacing="0"/>
        <w:ind w:left="0"/>
        <w:contextualSpacing w:val="0"/>
        <w:jc w:val="both"/>
        <w:rPr>
          <w:rFonts w:ascii="Arial" w:hAnsi="Arial" w:cs="Arial"/>
        </w:rPr>
      </w:pPr>
    </w:p>
    <w:p w:rsidR="00574926" w:rsidRPr="00C91080" w:rsidRDefault="00574926" w:rsidP="000F2A3C">
      <w:pPr>
        <w:pStyle w:val="ListParagraph"/>
        <w:spacing w:after="0" w:afterAutospacing="0"/>
        <w:ind w:left="0"/>
        <w:contextualSpacing w:val="0"/>
        <w:jc w:val="both"/>
        <w:rPr>
          <w:rFonts w:ascii="Arial" w:hAnsi="Arial" w:cs="Arial"/>
          <w:b/>
        </w:rPr>
      </w:pPr>
    </w:p>
    <w:sectPr w:rsidR="00574926" w:rsidRPr="00C91080" w:rsidSect="00BC4B8C">
      <w:footerReference w:type="default" r:id="rId8"/>
      <w:pgSz w:w="12240" w:h="15840" w:code="1"/>
      <w:pgMar w:top="1440" w:right="1440" w:bottom="1440" w:left="1440" w:header="720" w:footer="720" w:gutter="720"/>
      <w:pgNumType w:fmt="lowerRoman"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3AD" w:rsidRDefault="000F33AD" w:rsidP="003E31E0">
      <w:pPr>
        <w:spacing w:after="0" w:line="240" w:lineRule="auto"/>
      </w:pPr>
      <w:r>
        <w:separator/>
      </w:r>
    </w:p>
  </w:endnote>
  <w:endnote w:type="continuationSeparator" w:id="0">
    <w:p w:rsidR="000F33AD" w:rsidRDefault="000F33AD" w:rsidP="003E3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923745"/>
      <w:docPartObj>
        <w:docPartGallery w:val="Page Numbers (Bottom of Page)"/>
        <w:docPartUnique/>
      </w:docPartObj>
    </w:sdtPr>
    <w:sdtEndPr>
      <w:rPr>
        <w:color w:val="000000" w:themeColor="text1"/>
      </w:rPr>
    </w:sdtEndPr>
    <w:sdtContent>
      <w:p w:rsidR="003E31E0" w:rsidRPr="00FE4221" w:rsidRDefault="006422C9">
        <w:pPr>
          <w:pStyle w:val="Footer"/>
          <w:jc w:val="right"/>
          <w:rPr>
            <w:color w:val="000000" w:themeColor="text1"/>
          </w:rPr>
        </w:pPr>
        <w:r w:rsidRPr="00FE4221">
          <w:rPr>
            <w:color w:val="000000" w:themeColor="text1"/>
          </w:rPr>
          <w:fldChar w:fldCharType="begin"/>
        </w:r>
        <w:r w:rsidR="00461A0F" w:rsidRPr="00FE4221">
          <w:rPr>
            <w:color w:val="000000" w:themeColor="text1"/>
          </w:rPr>
          <w:instrText xml:space="preserve"> PAGE   \* MERGEFORMAT </w:instrText>
        </w:r>
        <w:r w:rsidRPr="00FE4221">
          <w:rPr>
            <w:color w:val="000000" w:themeColor="text1"/>
          </w:rPr>
          <w:fldChar w:fldCharType="separate"/>
        </w:r>
        <w:r w:rsidR="00036C83">
          <w:rPr>
            <w:noProof/>
            <w:color w:val="000000" w:themeColor="text1"/>
          </w:rPr>
          <w:t>i</w:t>
        </w:r>
        <w:r w:rsidRPr="00FE4221">
          <w:rPr>
            <w:color w:val="000000" w:themeColor="text1"/>
          </w:rPr>
          <w:fldChar w:fldCharType="end"/>
        </w:r>
      </w:p>
    </w:sdtContent>
  </w:sdt>
  <w:p w:rsidR="003E31E0" w:rsidRDefault="003E31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3AD" w:rsidRDefault="000F33AD" w:rsidP="003E31E0">
      <w:pPr>
        <w:spacing w:after="0" w:line="240" w:lineRule="auto"/>
      </w:pPr>
      <w:r>
        <w:separator/>
      </w:r>
    </w:p>
  </w:footnote>
  <w:footnote w:type="continuationSeparator" w:id="0">
    <w:p w:rsidR="000F33AD" w:rsidRDefault="000F33AD" w:rsidP="003E31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6026"/>
    <w:multiLevelType w:val="multilevel"/>
    <w:tmpl w:val="93C0C9A4"/>
    <w:lvl w:ilvl="0">
      <w:start w:val="2"/>
      <w:numFmt w:val="decimal"/>
      <w:lvlText w:val="%1"/>
      <w:lvlJc w:val="left"/>
      <w:pPr>
        <w:ind w:left="360" w:hanging="360"/>
      </w:pPr>
      <w:rPr>
        <w:rFonts w:hint="default"/>
      </w:rPr>
    </w:lvl>
    <w:lvl w:ilvl="1">
      <w:start w:val="1"/>
      <w:numFmt w:val="decimal"/>
      <w:lvlText w:val="%1.%2"/>
      <w:lvlJc w:val="left"/>
      <w:pPr>
        <w:ind w:left="1710" w:hanging="36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 w15:restartNumberingAfterBreak="0">
    <w:nsid w:val="021A4B9E"/>
    <w:multiLevelType w:val="multilevel"/>
    <w:tmpl w:val="0518AD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4866B3"/>
    <w:multiLevelType w:val="multilevel"/>
    <w:tmpl w:val="3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i w:val="0"/>
      </w:rPr>
    </w:lvl>
    <w:lvl w:ilvl="5">
      <w:start w:val="1"/>
      <w:numFmt w:val="decimal"/>
      <w:lvlText w:val="%1.%2.%3.%4.%5.%6."/>
      <w:lvlJc w:val="left"/>
      <w:pPr>
        <w:ind w:left="2736" w:hanging="936"/>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i w:val="0"/>
      </w:rPr>
    </w:lvl>
    <w:lvl w:ilvl="8">
      <w:start w:val="1"/>
      <w:numFmt w:val="decimal"/>
      <w:lvlText w:val="%1.%2.%3.%4.%5.%6.%7.%8.%9."/>
      <w:lvlJc w:val="left"/>
      <w:pPr>
        <w:ind w:left="4320" w:hanging="1440"/>
      </w:pPr>
      <w:rPr>
        <w:rFonts w:hint="default"/>
        <w:i w:val="0"/>
      </w:rPr>
    </w:lvl>
  </w:abstractNum>
  <w:abstractNum w:abstractNumId="3" w15:restartNumberingAfterBreak="0">
    <w:nsid w:val="068F4B06"/>
    <w:multiLevelType w:val="multilevel"/>
    <w:tmpl w:val="45646098"/>
    <w:lvl w:ilvl="0">
      <w:start w:val="11"/>
      <w:numFmt w:val="decimal"/>
      <w:lvlText w:val="%1."/>
      <w:lvlJc w:val="left"/>
      <w:pPr>
        <w:ind w:left="1440" w:hanging="360"/>
      </w:pPr>
      <w:rPr>
        <w:rFonts w:hint="default"/>
        <w:b/>
        <w:color w:val="auto"/>
        <w:sz w:val="22"/>
        <w:szCs w:val="22"/>
      </w:rPr>
    </w:lvl>
    <w:lvl w:ilvl="1">
      <w:start w:val="7"/>
      <w:numFmt w:val="decimal"/>
      <w:isLgl/>
      <w:lvlText w:val="%1.%2"/>
      <w:lvlJc w:val="left"/>
      <w:pPr>
        <w:ind w:left="930" w:hanging="930"/>
      </w:pPr>
      <w:rPr>
        <w:rFonts w:hint="default"/>
        <w:b w:val="0"/>
        <w:i w:val="0"/>
        <w:color w:val="auto"/>
        <w:sz w:val="22"/>
        <w:szCs w:val="22"/>
      </w:rPr>
    </w:lvl>
    <w:lvl w:ilvl="2">
      <w:start w:val="1"/>
      <w:numFmt w:val="decimal"/>
      <w:isLgl/>
      <w:lvlText w:val="%1.%2.%3"/>
      <w:lvlJc w:val="left"/>
      <w:pPr>
        <w:ind w:left="3090" w:hanging="930"/>
      </w:pPr>
      <w:rPr>
        <w:rFonts w:hint="default"/>
        <w:b w:val="0"/>
      </w:rPr>
    </w:lvl>
    <w:lvl w:ilvl="3">
      <w:start w:val="1"/>
      <w:numFmt w:val="decimal"/>
      <w:isLgl/>
      <w:lvlText w:val="%1.%2.%3.%4"/>
      <w:lvlJc w:val="left"/>
      <w:pPr>
        <w:ind w:left="3090" w:hanging="93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4" w15:restartNumberingAfterBreak="0">
    <w:nsid w:val="07196CC4"/>
    <w:multiLevelType w:val="hybridMultilevel"/>
    <w:tmpl w:val="F05A6D0A"/>
    <w:lvl w:ilvl="0" w:tplc="34090019">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 w15:restartNumberingAfterBreak="0">
    <w:nsid w:val="0E131067"/>
    <w:multiLevelType w:val="multilevel"/>
    <w:tmpl w:val="3409001F"/>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b w:val="0"/>
        <w:i w:val="0"/>
        <w:color w:val="auto"/>
      </w:rPr>
    </w:lvl>
    <w:lvl w:ilvl="2">
      <w:start w:val="1"/>
      <w:numFmt w:val="lowerLetter"/>
      <w:lvlText w:val="%1.%2.%3."/>
      <w:lvlJc w:val="left"/>
      <w:pPr>
        <w:ind w:left="1224" w:hanging="504"/>
      </w:pPr>
      <w:rPr>
        <w:rFonts w:hint="default"/>
        <w:b/>
        <w:color w:val="7030A0"/>
      </w:rPr>
    </w:lvl>
    <w:lvl w:ilvl="3">
      <w:start w:val="1"/>
      <w:numFmt w:val="decimal"/>
      <w:lvlText w:val="%1.%2.%3.%4."/>
      <w:lvlJc w:val="left"/>
      <w:pPr>
        <w:ind w:left="1728" w:hanging="648"/>
      </w:pPr>
      <w:rPr>
        <w:rFonts w:hint="default"/>
        <w:b/>
        <w:color w:val="7030A0"/>
      </w:rPr>
    </w:lvl>
    <w:lvl w:ilvl="4">
      <w:start w:val="1"/>
      <w:numFmt w:val="decimal"/>
      <w:lvlText w:val="%1.%2.%3.%4.%5."/>
      <w:lvlJc w:val="left"/>
      <w:pPr>
        <w:ind w:left="2232" w:hanging="792"/>
      </w:pPr>
      <w:rPr>
        <w:rFonts w:hint="default"/>
        <w:b/>
        <w:color w:val="7030A0"/>
      </w:rPr>
    </w:lvl>
    <w:lvl w:ilvl="5">
      <w:start w:val="1"/>
      <w:numFmt w:val="decimal"/>
      <w:lvlText w:val="%1.%2.%3.%4.%5.%6."/>
      <w:lvlJc w:val="left"/>
      <w:pPr>
        <w:ind w:left="2736" w:hanging="936"/>
      </w:pPr>
      <w:rPr>
        <w:rFonts w:hint="default"/>
        <w:b/>
        <w:color w:val="7030A0"/>
      </w:rPr>
    </w:lvl>
    <w:lvl w:ilvl="6">
      <w:start w:val="1"/>
      <w:numFmt w:val="decimal"/>
      <w:lvlText w:val="%1.%2.%3.%4.%5.%6.%7."/>
      <w:lvlJc w:val="left"/>
      <w:pPr>
        <w:ind w:left="3240" w:hanging="1080"/>
      </w:pPr>
      <w:rPr>
        <w:rFonts w:hint="default"/>
        <w:b/>
        <w:color w:val="7030A0"/>
      </w:rPr>
    </w:lvl>
    <w:lvl w:ilvl="7">
      <w:start w:val="1"/>
      <w:numFmt w:val="decimal"/>
      <w:lvlText w:val="%1.%2.%3.%4.%5.%6.%7.%8."/>
      <w:lvlJc w:val="left"/>
      <w:pPr>
        <w:ind w:left="3744" w:hanging="1224"/>
      </w:pPr>
      <w:rPr>
        <w:rFonts w:hint="default"/>
        <w:b/>
        <w:color w:val="7030A0"/>
      </w:rPr>
    </w:lvl>
    <w:lvl w:ilvl="8">
      <w:start w:val="1"/>
      <w:numFmt w:val="decimal"/>
      <w:lvlText w:val="%1.%2.%3.%4.%5.%6.%7.%8.%9."/>
      <w:lvlJc w:val="left"/>
      <w:pPr>
        <w:ind w:left="4320" w:hanging="1440"/>
      </w:pPr>
      <w:rPr>
        <w:rFonts w:hint="default"/>
        <w:b/>
        <w:color w:val="7030A0"/>
      </w:rPr>
    </w:lvl>
  </w:abstractNum>
  <w:abstractNum w:abstractNumId="6" w15:restartNumberingAfterBreak="0">
    <w:nsid w:val="0E160F53"/>
    <w:multiLevelType w:val="multilevel"/>
    <w:tmpl w:val="3409001F"/>
    <w:numStyleLink w:val="Style1"/>
  </w:abstractNum>
  <w:abstractNum w:abstractNumId="7" w15:restartNumberingAfterBreak="0">
    <w:nsid w:val="0F9A34D6"/>
    <w:multiLevelType w:val="hybridMultilevel"/>
    <w:tmpl w:val="629C86AC"/>
    <w:lvl w:ilvl="0" w:tplc="083EAE18">
      <w:start w:val="1"/>
      <w:numFmt w:val="lowerLetter"/>
      <w:lvlText w:val="%1."/>
      <w:lvlJc w:val="left"/>
      <w:pPr>
        <w:ind w:left="1800" w:hanging="360"/>
      </w:pPr>
      <w:rPr>
        <w:rFonts w:cs="Times New Roman" w:hint="default"/>
      </w:rPr>
    </w:lvl>
    <w:lvl w:ilvl="1" w:tplc="34090019">
      <w:start w:val="1"/>
      <w:numFmt w:val="lowerLetter"/>
      <w:lvlText w:val="%2."/>
      <w:lvlJc w:val="left"/>
      <w:pPr>
        <w:ind w:left="2520" w:hanging="360"/>
      </w:pPr>
      <w:rPr>
        <w:rFonts w:cs="Times New Roman"/>
      </w:rPr>
    </w:lvl>
    <w:lvl w:ilvl="2" w:tplc="3409001B">
      <w:start w:val="1"/>
      <w:numFmt w:val="lowerRoman"/>
      <w:lvlText w:val="%3."/>
      <w:lvlJc w:val="right"/>
      <w:pPr>
        <w:ind w:left="3240" w:hanging="180"/>
      </w:pPr>
      <w:rPr>
        <w:rFonts w:cs="Times New Roman"/>
      </w:rPr>
    </w:lvl>
    <w:lvl w:ilvl="3" w:tplc="3409000F">
      <w:start w:val="1"/>
      <w:numFmt w:val="decimal"/>
      <w:lvlText w:val="%4."/>
      <w:lvlJc w:val="left"/>
      <w:pPr>
        <w:ind w:left="3960" w:hanging="360"/>
      </w:pPr>
      <w:rPr>
        <w:rFonts w:cs="Times New Roman"/>
      </w:rPr>
    </w:lvl>
    <w:lvl w:ilvl="4" w:tplc="34090019">
      <w:start w:val="1"/>
      <w:numFmt w:val="lowerLetter"/>
      <w:lvlText w:val="%5."/>
      <w:lvlJc w:val="left"/>
      <w:pPr>
        <w:ind w:left="4680" w:hanging="360"/>
      </w:pPr>
      <w:rPr>
        <w:rFonts w:cs="Times New Roman"/>
      </w:rPr>
    </w:lvl>
    <w:lvl w:ilvl="5" w:tplc="3409001B">
      <w:start w:val="1"/>
      <w:numFmt w:val="lowerRoman"/>
      <w:lvlText w:val="%6."/>
      <w:lvlJc w:val="right"/>
      <w:pPr>
        <w:ind w:left="5400" w:hanging="180"/>
      </w:pPr>
      <w:rPr>
        <w:rFonts w:cs="Times New Roman"/>
      </w:rPr>
    </w:lvl>
    <w:lvl w:ilvl="6" w:tplc="3409000F">
      <w:start w:val="1"/>
      <w:numFmt w:val="decimal"/>
      <w:lvlText w:val="%7."/>
      <w:lvlJc w:val="left"/>
      <w:pPr>
        <w:ind w:left="6120" w:hanging="360"/>
      </w:pPr>
      <w:rPr>
        <w:rFonts w:cs="Times New Roman"/>
      </w:rPr>
    </w:lvl>
    <w:lvl w:ilvl="7" w:tplc="34090019">
      <w:start w:val="1"/>
      <w:numFmt w:val="lowerLetter"/>
      <w:lvlText w:val="%8."/>
      <w:lvlJc w:val="left"/>
      <w:pPr>
        <w:ind w:left="6840" w:hanging="360"/>
      </w:pPr>
      <w:rPr>
        <w:rFonts w:cs="Times New Roman"/>
      </w:rPr>
    </w:lvl>
    <w:lvl w:ilvl="8" w:tplc="3409001B">
      <w:start w:val="1"/>
      <w:numFmt w:val="lowerRoman"/>
      <w:lvlText w:val="%9."/>
      <w:lvlJc w:val="right"/>
      <w:pPr>
        <w:ind w:left="7560" w:hanging="180"/>
      </w:pPr>
      <w:rPr>
        <w:rFonts w:cs="Times New Roman"/>
      </w:rPr>
    </w:lvl>
  </w:abstractNum>
  <w:abstractNum w:abstractNumId="8" w15:restartNumberingAfterBreak="0">
    <w:nsid w:val="121557A8"/>
    <w:multiLevelType w:val="multilevel"/>
    <w:tmpl w:val="EE06211E"/>
    <w:lvl w:ilvl="0">
      <w:start w:val="2"/>
      <w:numFmt w:val="decimal"/>
      <w:lvlText w:val="%1."/>
      <w:lvlJc w:val="left"/>
      <w:pPr>
        <w:ind w:left="720" w:hanging="360"/>
      </w:pPr>
      <w:rPr>
        <w:rFonts w:ascii="Arial" w:hAnsi="Arial" w:cs="Arial" w:hint="default"/>
        <w:b/>
        <w:sz w:val="22"/>
        <w:szCs w:val="22"/>
      </w:rPr>
    </w:lvl>
    <w:lvl w:ilvl="1">
      <w:start w:val="1"/>
      <w:numFmt w:val="decimal"/>
      <w:isLgl/>
      <w:lvlText w:val="%1.%2"/>
      <w:lvlJc w:val="left"/>
      <w:pPr>
        <w:tabs>
          <w:tab w:val="num" w:pos="720"/>
        </w:tabs>
        <w:ind w:left="720" w:hanging="360"/>
      </w:pPr>
      <w:rPr>
        <w:rFonts w:hint="default"/>
        <w:b w:val="0"/>
        <w:i w:val="0"/>
        <w:color w:val="auto"/>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8842CE3"/>
    <w:multiLevelType w:val="multilevel"/>
    <w:tmpl w:val="DFC65C12"/>
    <w:lvl w:ilvl="0">
      <w:start w:val="4"/>
      <w:numFmt w:val="decimal"/>
      <w:lvlText w:val="%1."/>
      <w:lvlJc w:val="left"/>
      <w:pPr>
        <w:ind w:left="720" w:hanging="360"/>
      </w:pPr>
      <w:rPr>
        <w:rFonts w:ascii="Arial" w:hAnsi="Arial" w:cs="Arial"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19660EA4"/>
    <w:multiLevelType w:val="hybridMultilevel"/>
    <w:tmpl w:val="E370FD22"/>
    <w:lvl w:ilvl="0" w:tplc="5AF01A78">
      <w:start w:val="1"/>
      <w:numFmt w:val="lowerLetter"/>
      <w:lvlText w:val="%1."/>
      <w:lvlJc w:val="left"/>
      <w:pPr>
        <w:ind w:left="1446" w:hanging="360"/>
      </w:pPr>
      <w:rPr>
        <w:rFonts w:hint="default"/>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1" w15:restartNumberingAfterBreak="0">
    <w:nsid w:val="1D587101"/>
    <w:multiLevelType w:val="multilevel"/>
    <w:tmpl w:val="26B0B2D0"/>
    <w:lvl w:ilvl="0">
      <w:start w:val="5"/>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sz w:val="22"/>
        <w:szCs w:val="22"/>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2" w15:restartNumberingAfterBreak="0">
    <w:nsid w:val="22210B1D"/>
    <w:multiLevelType w:val="multilevel"/>
    <w:tmpl w:val="3409001F"/>
    <w:styleLink w:val="Style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b w:val="0"/>
        <w:i w:val="0"/>
      </w:rPr>
    </w:lvl>
    <w:lvl w:ilvl="2">
      <w:start w:val="1"/>
      <w:numFmt w:val="lowerLetter"/>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256F4D27"/>
    <w:multiLevelType w:val="hybridMultilevel"/>
    <w:tmpl w:val="7B6411AE"/>
    <w:lvl w:ilvl="0" w:tplc="0BD2F742">
      <w:start w:val="1"/>
      <w:numFmt w:val="lowerLetter"/>
      <w:lvlText w:val="%1."/>
      <w:lvlJc w:val="left"/>
      <w:pPr>
        <w:ind w:left="2698" w:hanging="360"/>
      </w:pPr>
      <w:rPr>
        <w:rFonts w:hint="default"/>
      </w:rPr>
    </w:lvl>
    <w:lvl w:ilvl="1" w:tplc="803874D4">
      <w:start w:val="1"/>
      <w:numFmt w:val="lowerLetter"/>
      <w:lvlText w:val="%2."/>
      <w:lvlJc w:val="left"/>
      <w:pPr>
        <w:ind w:left="1260" w:hanging="360"/>
      </w:pPr>
      <w:rPr>
        <w:b/>
      </w:rPr>
    </w:lvl>
    <w:lvl w:ilvl="2" w:tplc="C1A466E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0D790F"/>
    <w:multiLevelType w:val="multilevel"/>
    <w:tmpl w:val="7D602984"/>
    <w:lvl w:ilvl="0">
      <w:start w:val="1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2D194D96"/>
    <w:multiLevelType w:val="multilevel"/>
    <w:tmpl w:val="E102B7EA"/>
    <w:lvl w:ilvl="0">
      <w:start w:val="1"/>
      <w:numFmt w:val="decimal"/>
      <w:lvlText w:val="%1."/>
      <w:lvlJc w:val="left"/>
      <w:pPr>
        <w:ind w:left="1140" w:hanging="360"/>
      </w:pPr>
      <w:rPr>
        <w:rFonts w:hint="default"/>
      </w:rPr>
    </w:lvl>
    <w:lvl w:ilvl="1">
      <w:start w:val="1"/>
      <w:numFmt w:val="decimal"/>
      <w:isLgl/>
      <w:lvlText w:val="%1.%2"/>
      <w:lvlJc w:val="left"/>
      <w:pPr>
        <w:ind w:left="1710" w:hanging="360"/>
      </w:pPr>
      <w:rPr>
        <w:rFonts w:hint="default"/>
        <w:b w:val="0"/>
        <w:i w:val="0"/>
      </w:rPr>
    </w:lvl>
    <w:lvl w:ilvl="2">
      <w:start w:val="1"/>
      <w:numFmt w:val="decimal"/>
      <w:isLgl/>
      <w:lvlText w:val="%1.%2.%3"/>
      <w:lvlJc w:val="left"/>
      <w:pPr>
        <w:ind w:left="2100" w:hanging="720"/>
      </w:pPr>
      <w:rPr>
        <w:rFonts w:hint="default"/>
        <w:b/>
      </w:rPr>
    </w:lvl>
    <w:lvl w:ilvl="3">
      <w:start w:val="1"/>
      <w:numFmt w:val="decimal"/>
      <w:isLgl/>
      <w:lvlText w:val="%1.%2.%3.%4"/>
      <w:lvlJc w:val="left"/>
      <w:pPr>
        <w:ind w:left="2400" w:hanging="720"/>
      </w:pPr>
      <w:rPr>
        <w:rFonts w:hint="default"/>
        <w:b/>
      </w:rPr>
    </w:lvl>
    <w:lvl w:ilvl="4">
      <w:start w:val="1"/>
      <w:numFmt w:val="decimal"/>
      <w:isLgl/>
      <w:lvlText w:val="%1.%2.%3.%4.%5"/>
      <w:lvlJc w:val="left"/>
      <w:pPr>
        <w:ind w:left="3060" w:hanging="1080"/>
      </w:pPr>
      <w:rPr>
        <w:rFonts w:hint="default"/>
        <w:b/>
      </w:rPr>
    </w:lvl>
    <w:lvl w:ilvl="5">
      <w:start w:val="1"/>
      <w:numFmt w:val="decimal"/>
      <w:isLgl/>
      <w:lvlText w:val="%1.%2.%3.%4.%5.%6"/>
      <w:lvlJc w:val="left"/>
      <w:pPr>
        <w:ind w:left="3360" w:hanging="1080"/>
      </w:pPr>
      <w:rPr>
        <w:rFonts w:hint="default"/>
        <w:b/>
      </w:rPr>
    </w:lvl>
    <w:lvl w:ilvl="6">
      <w:start w:val="1"/>
      <w:numFmt w:val="decimal"/>
      <w:isLgl/>
      <w:lvlText w:val="%1.%2.%3.%4.%5.%6.%7"/>
      <w:lvlJc w:val="left"/>
      <w:pPr>
        <w:ind w:left="402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980" w:hanging="1800"/>
      </w:pPr>
      <w:rPr>
        <w:rFonts w:hint="default"/>
        <w:b/>
      </w:rPr>
    </w:lvl>
  </w:abstractNum>
  <w:abstractNum w:abstractNumId="16" w15:restartNumberingAfterBreak="0">
    <w:nsid w:val="2E62304F"/>
    <w:multiLevelType w:val="multilevel"/>
    <w:tmpl w:val="DE2CEAB8"/>
    <w:lvl w:ilvl="0">
      <w:start w:val="1"/>
      <w:numFmt w:val="decimal"/>
      <w:lvlText w:val="%1."/>
      <w:lvlJc w:val="left"/>
      <w:pPr>
        <w:ind w:left="1440" w:hanging="360"/>
      </w:pPr>
      <w:rPr>
        <w:rFonts w:hint="default"/>
        <w:b w:val="0"/>
        <w:color w:val="auto"/>
        <w:sz w:val="22"/>
        <w:szCs w:val="22"/>
      </w:rPr>
    </w:lvl>
    <w:lvl w:ilvl="1">
      <w:start w:val="1"/>
      <w:numFmt w:val="decimal"/>
      <w:isLgl/>
      <w:lvlText w:val="%1.%2"/>
      <w:lvlJc w:val="left"/>
      <w:pPr>
        <w:ind w:left="3090" w:hanging="930"/>
      </w:pPr>
      <w:rPr>
        <w:rFonts w:hint="default"/>
        <w:b w:val="0"/>
        <w:i w:val="0"/>
        <w:color w:val="auto"/>
        <w:sz w:val="22"/>
        <w:szCs w:val="22"/>
      </w:rPr>
    </w:lvl>
    <w:lvl w:ilvl="2">
      <w:start w:val="1"/>
      <w:numFmt w:val="decimal"/>
      <w:isLgl/>
      <w:lvlText w:val="%1.%2.%3"/>
      <w:lvlJc w:val="left"/>
      <w:pPr>
        <w:ind w:left="3090" w:hanging="930"/>
      </w:pPr>
      <w:rPr>
        <w:rFonts w:hint="default"/>
        <w:b w:val="0"/>
      </w:rPr>
    </w:lvl>
    <w:lvl w:ilvl="3">
      <w:start w:val="1"/>
      <w:numFmt w:val="decimal"/>
      <w:isLgl/>
      <w:lvlText w:val="%1.%2.%3.%4"/>
      <w:lvlJc w:val="left"/>
      <w:pPr>
        <w:ind w:left="3090" w:hanging="93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17" w15:restartNumberingAfterBreak="0">
    <w:nsid w:val="3091584E"/>
    <w:multiLevelType w:val="hybridMultilevel"/>
    <w:tmpl w:val="359C32A8"/>
    <w:lvl w:ilvl="0" w:tplc="AAA64748">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8B0ABA"/>
    <w:multiLevelType w:val="multilevel"/>
    <w:tmpl w:val="5738913E"/>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5446B8"/>
    <w:multiLevelType w:val="multilevel"/>
    <w:tmpl w:val="81CA8B0E"/>
    <w:lvl w:ilvl="0">
      <w:start w:val="7"/>
      <w:numFmt w:val="decimal"/>
      <w:lvlText w:val="%1."/>
      <w:lvlJc w:val="left"/>
      <w:pPr>
        <w:ind w:left="1140" w:hanging="360"/>
      </w:pPr>
      <w:rPr>
        <w:rFonts w:hint="default"/>
        <w:b/>
        <w:color w:val="auto"/>
      </w:rPr>
    </w:lvl>
    <w:lvl w:ilvl="1">
      <w:start w:val="1"/>
      <w:numFmt w:val="decimal"/>
      <w:isLgl/>
      <w:lvlText w:val="%1.%2"/>
      <w:lvlJc w:val="left"/>
      <w:pPr>
        <w:ind w:left="1710" w:hanging="360"/>
      </w:pPr>
      <w:rPr>
        <w:rFonts w:hint="default"/>
        <w:b w:val="0"/>
        <w:color w:val="auto"/>
      </w:rPr>
    </w:lvl>
    <w:lvl w:ilvl="2">
      <w:start w:val="1"/>
      <w:numFmt w:val="decimal"/>
      <w:isLgl/>
      <w:lvlText w:val="%1.%2.%3"/>
      <w:lvlJc w:val="left"/>
      <w:pPr>
        <w:ind w:left="2100" w:hanging="720"/>
      </w:pPr>
      <w:rPr>
        <w:rFonts w:hint="default"/>
        <w:b/>
        <w:color w:val="auto"/>
      </w:rPr>
    </w:lvl>
    <w:lvl w:ilvl="3">
      <w:start w:val="1"/>
      <w:numFmt w:val="decimal"/>
      <w:isLgl/>
      <w:lvlText w:val="%1.%2.%3.%4"/>
      <w:lvlJc w:val="left"/>
      <w:pPr>
        <w:ind w:left="2400" w:hanging="720"/>
      </w:pPr>
      <w:rPr>
        <w:rFonts w:hint="default"/>
        <w:b/>
        <w:color w:val="auto"/>
      </w:rPr>
    </w:lvl>
    <w:lvl w:ilvl="4">
      <w:start w:val="1"/>
      <w:numFmt w:val="decimal"/>
      <w:isLgl/>
      <w:lvlText w:val="%1.%2.%3.%4.%5"/>
      <w:lvlJc w:val="left"/>
      <w:pPr>
        <w:ind w:left="3060" w:hanging="1080"/>
      </w:pPr>
      <w:rPr>
        <w:rFonts w:hint="default"/>
        <w:b/>
        <w:color w:val="auto"/>
      </w:rPr>
    </w:lvl>
    <w:lvl w:ilvl="5">
      <w:start w:val="1"/>
      <w:numFmt w:val="decimal"/>
      <w:isLgl/>
      <w:lvlText w:val="%1.%2.%3.%4.%5.%6"/>
      <w:lvlJc w:val="left"/>
      <w:pPr>
        <w:ind w:left="3360" w:hanging="1080"/>
      </w:pPr>
      <w:rPr>
        <w:rFonts w:hint="default"/>
        <w:b/>
        <w:color w:val="auto"/>
      </w:rPr>
    </w:lvl>
    <w:lvl w:ilvl="6">
      <w:start w:val="1"/>
      <w:numFmt w:val="decimal"/>
      <w:isLgl/>
      <w:lvlText w:val="%1.%2.%3.%4.%5.%6.%7"/>
      <w:lvlJc w:val="left"/>
      <w:pPr>
        <w:ind w:left="4020" w:hanging="1440"/>
      </w:pPr>
      <w:rPr>
        <w:rFonts w:hint="default"/>
        <w:b/>
        <w:color w:val="auto"/>
      </w:rPr>
    </w:lvl>
    <w:lvl w:ilvl="7">
      <w:start w:val="1"/>
      <w:numFmt w:val="decimal"/>
      <w:isLgl/>
      <w:lvlText w:val="%1.%2.%3.%4.%5.%6.%7.%8"/>
      <w:lvlJc w:val="left"/>
      <w:pPr>
        <w:ind w:left="4320" w:hanging="1440"/>
      </w:pPr>
      <w:rPr>
        <w:rFonts w:hint="default"/>
        <w:b/>
        <w:color w:val="auto"/>
      </w:rPr>
    </w:lvl>
    <w:lvl w:ilvl="8">
      <w:start w:val="1"/>
      <w:numFmt w:val="decimal"/>
      <w:isLgl/>
      <w:lvlText w:val="%1.%2.%3.%4.%5.%6.%7.%8.%9"/>
      <w:lvlJc w:val="left"/>
      <w:pPr>
        <w:ind w:left="4980" w:hanging="1800"/>
      </w:pPr>
      <w:rPr>
        <w:rFonts w:hint="default"/>
        <w:b/>
        <w:color w:val="auto"/>
      </w:rPr>
    </w:lvl>
  </w:abstractNum>
  <w:abstractNum w:abstractNumId="20" w15:restartNumberingAfterBreak="0">
    <w:nsid w:val="38FC54C4"/>
    <w:multiLevelType w:val="hybridMultilevel"/>
    <w:tmpl w:val="2904C57A"/>
    <w:lvl w:ilvl="0" w:tplc="A53A14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77188"/>
    <w:multiLevelType w:val="multilevel"/>
    <w:tmpl w:val="7040D61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B5B58CE"/>
    <w:multiLevelType w:val="hybridMultilevel"/>
    <w:tmpl w:val="2CBC9702"/>
    <w:lvl w:ilvl="0" w:tplc="3409000F">
      <w:start w:val="1"/>
      <w:numFmt w:val="decimal"/>
      <w:lvlText w:val="%1."/>
      <w:lvlJc w:val="left"/>
      <w:pPr>
        <w:ind w:left="1800" w:hanging="360"/>
      </w:pPr>
      <w:rPr>
        <w:rFonts w:hint="default"/>
      </w:rPr>
    </w:lvl>
    <w:lvl w:ilvl="1" w:tplc="34090019">
      <w:start w:val="1"/>
      <w:numFmt w:val="lowerLetter"/>
      <w:lvlText w:val="%2."/>
      <w:lvlJc w:val="left"/>
      <w:pPr>
        <w:ind w:left="2520" w:hanging="360"/>
      </w:pPr>
      <w:rPr>
        <w:rFonts w:cs="Times New Roman"/>
      </w:rPr>
    </w:lvl>
    <w:lvl w:ilvl="2" w:tplc="3409001B">
      <w:start w:val="1"/>
      <w:numFmt w:val="lowerRoman"/>
      <w:lvlText w:val="%3."/>
      <w:lvlJc w:val="right"/>
      <w:pPr>
        <w:ind w:left="3240" w:hanging="180"/>
      </w:pPr>
      <w:rPr>
        <w:rFonts w:cs="Times New Roman"/>
      </w:rPr>
    </w:lvl>
    <w:lvl w:ilvl="3" w:tplc="3409000F">
      <w:start w:val="1"/>
      <w:numFmt w:val="decimal"/>
      <w:lvlText w:val="%4."/>
      <w:lvlJc w:val="left"/>
      <w:pPr>
        <w:ind w:left="3960" w:hanging="360"/>
      </w:pPr>
      <w:rPr>
        <w:rFonts w:cs="Times New Roman"/>
      </w:rPr>
    </w:lvl>
    <w:lvl w:ilvl="4" w:tplc="34090019">
      <w:start w:val="1"/>
      <w:numFmt w:val="lowerLetter"/>
      <w:lvlText w:val="%5."/>
      <w:lvlJc w:val="left"/>
      <w:pPr>
        <w:ind w:left="4680" w:hanging="360"/>
      </w:pPr>
      <w:rPr>
        <w:rFonts w:cs="Times New Roman"/>
      </w:rPr>
    </w:lvl>
    <w:lvl w:ilvl="5" w:tplc="3409001B">
      <w:start w:val="1"/>
      <w:numFmt w:val="lowerRoman"/>
      <w:lvlText w:val="%6."/>
      <w:lvlJc w:val="right"/>
      <w:pPr>
        <w:ind w:left="5400" w:hanging="180"/>
      </w:pPr>
      <w:rPr>
        <w:rFonts w:cs="Times New Roman"/>
      </w:rPr>
    </w:lvl>
    <w:lvl w:ilvl="6" w:tplc="3409000F">
      <w:start w:val="1"/>
      <w:numFmt w:val="decimal"/>
      <w:lvlText w:val="%7."/>
      <w:lvlJc w:val="left"/>
      <w:pPr>
        <w:ind w:left="6120" w:hanging="360"/>
      </w:pPr>
      <w:rPr>
        <w:rFonts w:cs="Times New Roman"/>
      </w:rPr>
    </w:lvl>
    <w:lvl w:ilvl="7" w:tplc="34090019">
      <w:start w:val="1"/>
      <w:numFmt w:val="lowerLetter"/>
      <w:lvlText w:val="%8."/>
      <w:lvlJc w:val="left"/>
      <w:pPr>
        <w:ind w:left="6840" w:hanging="360"/>
      </w:pPr>
      <w:rPr>
        <w:rFonts w:cs="Times New Roman"/>
      </w:rPr>
    </w:lvl>
    <w:lvl w:ilvl="8" w:tplc="3409001B">
      <w:start w:val="1"/>
      <w:numFmt w:val="lowerRoman"/>
      <w:lvlText w:val="%9."/>
      <w:lvlJc w:val="right"/>
      <w:pPr>
        <w:ind w:left="7560" w:hanging="180"/>
      </w:pPr>
      <w:rPr>
        <w:rFonts w:cs="Times New Roman"/>
      </w:rPr>
    </w:lvl>
  </w:abstractNum>
  <w:abstractNum w:abstractNumId="23" w15:restartNumberingAfterBreak="0">
    <w:nsid w:val="3B9D39AE"/>
    <w:multiLevelType w:val="multilevel"/>
    <w:tmpl w:val="1478BBF6"/>
    <w:lvl w:ilvl="0">
      <w:start w:val="7"/>
      <w:numFmt w:val="decimal"/>
      <w:lvlText w:val="%1"/>
      <w:lvlJc w:val="left"/>
      <w:pPr>
        <w:ind w:left="360" w:hanging="360"/>
      </w:pPr>
      <w:rPr>
        <w:rFonts w:hint="default"/>
        <w:b/>
      </w:rPr>
    </w:lvl>
    <w:lvl w:ilvl="1">
      <w:start w:val="4"/>
      <w:numFmt w:val="decimal"/>
      <w:lvlText w:val="%1.%2"/>
      <w:lvlJc w:val="left"/>
      <w:pPr>
        <w:ind w:left="2070" w:hanging="360"/>
      </w:pPr>
      <w:rPr>
        <w:rFonts w:hint="default"/>
        <w:b w:val="0"/>
      </w:rPr>
    </w:lvl>
    <w:lvl w:ilvl="2">
      <w:start w:val="1"/>
      <w:numFmt w:val="decimal"/>
      <w:lvlText w:val="%1.%2.%3"/>
      <w:lvlJc w:val="left"/>
      <w:pPr>
        <w:ind w:left="4140" w:hanging="720"/>
      </w:pPr>
      <w:rPr>
        <w:rFonts w:hint="default"/>
        <w:b/>
      </w:rPr>
    </w:lvl>
    <w:lvl w:ilvl="3">
      <w:start w:val="1"/>
      <w:numFmt w:val="decimal"/>
      <w:lvlText w:val="%1.%2.%3.%4"/>
      <w:lvlJc w:val="left"/>
      <w:pPr>
        <w:ind w:left="5850" w:hanging="720"/>
      </w:pPr>
      <w:rPr>
        <w:rFonts w:hint="default"/>
        <w:b/>
      </w:rPr>
    </w:lvl>
    <w:lvl w:ilvl="4">
      <w:start w:val="1"/>
      <w:numFmt w:val="decimal"/>
      <w:lvlText w:val="%1.%2.%3.%4.%5"/>
      <w:lvlJc w:val="left"/>
      <w:pPr>
        <w:ind w:left="7920" w:hanging="1080"/>
      </w:pPr>
      <w:rPr>
        <w:rFonts w:hint="default"/>
        <w:b/>
      </w:rPr>
    </w:lvl>
    <w:lvl w:ilvl="5">
      <w:start w:val="1"/>
      <w:numFmt w:val="decimal"/>
      <w:lvlText w:val="%1.%2.%3.%4.%5.%6"/>
      <w:lvlJc w:val="left"/>
      <w:pPr>
        <w:ind w:left="9630" w:hanging="1080"/>
      </w:pPr>
      <w:rPr>
        <w:rFonts w:hint="default"/>
        <w:b/>
      </w:rPr>
    </w:lvl>
    <w:lvl w:ilvl="6">
      <w:start w:val="1"/>
      <w:numFmt w:val="decimal"/>
      <w:lvlText w:val="%1.%2.%3.%4.%5.%6.%7"/>
      <w:lvlJc w:val="left"/>
      <w:pPr>
        <w:ind w:left="11700" w:hanging="1440"/>
      </w:pPr>
      <w:rPr>
        <w:rFonts w:hint="default"/>
        <w:b/>
      </w:rPr>
    </w:lvl>
    <w:lvl w:ilvl="7">
      <w:start w:val="1"/>
      <w:numFmt w:val="decimal"/>
      <w:lvlText w:val="%1.%2.%3.%4.%5.%6.%7.%8"/>
      <w:lvlJc w:val="left"/>
      <w:pPr>
        <w:ind w:left="13410" w:hanging="1440"/>
      </w:pPr>
      <w:rPr>
        <w:rFonts w:hint="default"/>
        <w:b/>
      </w:rPr>
    </w:lvl>
    <w:lvl w:ilvl="8">
      <w:start w:val="1"/>
      <w:numFmt w:val="decimal"/>
      <w:lvlText w:val="%1.%2.%3.%4.%5.%6.%7.%8.%9"/>
      <w:lvlJc w:val="left"/>
      <w:pPr>
        <w:ind w:left="15480" w:hanging="1800"/>
      </w:pPr>
      <w:rPr>
        <w:rFonts w:hint="default"/>
        <w:b/>
      </w:rPr>
    </w:lvl>
  </w:abstractNum>
  <w:abstractNum w:abstractNumId="24" w15:restartNumberingAfterBreak="0">
    <w:nsid w:val="3DC02FA6"/>
    <w:multiLevelType w:val="hybridMultilevel"/>
    <w:tmpl w:val="75F242E2"/>
    <w:lvl w:ilvl="0" w:tplc="B1A0FCB0">
      <w:start w:val="1"/>
      <w:numFmt w:val="lowerLetter"/>
      <w:lvlText w:val="%1."/>
      <w:lvlJc w:val="left"/>
      <w:pPr>
        <w:ind w:left="29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56148D"/>
    <w:multiLevelType w:val="multilevel"/>
    <w:tmpl w:val="C7E4FDA6"/>
    <w:lvl w:ilvl="0">
      <w:start w:val="12"/>
      <w:numFmt w:val="decimal"/>
      <w:lvlText w:val="%1."/>
      <w:lvlJc w:val="left"/>
      <w:pPr>
        <w:ind w:left="360" w:hanging="360"/>
      </w:pPr>
      <w:rPr>
        <w:rFonts w:ascii="Arial" w:hAnsi="Arial" w:cs="Arial" w:hint="default"/>
        <w:b/>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3333A"/>
    <w:multiLevelType w:val="multilevel"/>
    <w:tmpl w:val="E102B7EA"/>
    <w:lvl w:ilvl="0">
      <w:start w:val="1"/>
      <w:numFmt w:val="decimal"/>
      <w:lvlText w:val="%1."/>
      <w:lvlJc w:val="left"/>
      <w:pPr>
        <w:ind w:left="1140" w:hanging="360"/>
      </w:pPr>
      <w:rPr>
        <w:rFonts w:hint="default"/>
      </w:rPr>
    </w:lvl>
    <w:lvl w:ilvl="1">
      <w:start w:val="1"/>
      <w:numFmt w:val="decimal"/>
      <w:isLgl/>
      <w:lvlText w:val="%1.%2"/>
      <w:lvlJc w:val="left"/>
      <w:pPr>
        <w:ind w:left="1710" w:hanging="360"/>
      </w:pPr>
      <w:rPr>
        <w:rFonts w:hint="default"/>
        <w:b w:val="0"/>
        <w:i w:val="0"/>
      </w:rPr>
    </w:lvl>
    <w:lvl w:ilvl="2">
      <w:start w:val="1"/>
      <w:numFmt w:val="decimal"/>
      <w:isLgl/>
      <w:lvlText w:val="%1.%2.%3"/>
      <w:lvlJc w:val="left"/>
      <w:pPr>
        <w:ind w:left="2100" w:hanging="720"/>
      </w:pPr>
      <w:rPr>
        <w:rFonts w:hint="default"/>
        <w:b/>
      </w:rPr>
    </w:lvl>
    <w:lvl w:ilvl="3">
      <w:start w:val="1"/>
      <w:numFmt w:val="decimal"/>
      <w:isLgl/>
      <w:lvlText w:val="%1.%2.%3.%4"/>
      <w:lvlJc w:val="left"/>
      <w:pPr>
        <w:ind w:left="2400" w:hanging="720"/>
      </w:pPr>
      <w:rPr>
        <w:rFonts w:hint="default"/>
        <w:b/>
      </w:rPr>
    </w:lvl>
    <w:lvl w:ilvl="4">
      <w:start w:val="1"/>
      <w:numFmt w:val="decimal"/>
      <w:isLgl/>
      <w:lvlText w:val="%1.%2.%3.%4.%5"/>
      <w:lvlJc w:val="left"/>
      <w:pPr>
        <w:ind w:left="3060" w:hanging="1080"/>
      </w:pPr>
      <w:rPr>
        <w:rFonts w:hint="default"/>
        <w:b/>
      </w:rPr>
    </w:lvl>
    <w:lvl w:ilvl="5">
      <w:start w:val="1"/>
      <w:numFmt w:val="decimal"/>
      <w:isLgl/>
      <w:lvlText w:val="%1.%2.%3.%4.%5.%6"/>
      <w:lvlJc w:val="left"/>
      <w:pPr>
        <w:ind w:left="3360" w:hanging="1080"/>
      </w:pPr>
      <w:rPr>
        <w:rFonts w:hint="default"/>
        <w:b/>
      </w:rPr>
    </w:lvl>
    <w:lvl w:ilvl="6">
      <w:start w:val="1"/>
      <w:numFmt w:val="decimal"/>
      <w:isLgl/>
      <w:lvlText w:val="%1.%2.%3.%4.%5.%6.%7"/>
      <w:lvlJc w:val="left"/>
      <w:pPr>
        <w:ind w:left="402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980" w:hanging="1800"/>
      </w:pPr>
      <w:rPr>
        <w:rFonts w:hint="default"/>
        <w:b/>
      </w:rPr>
    </w:lvl>
  </w:abstractNum>
  <w:abstractNum w:abstractNumId="27" w15:restartNumberingAfterBreak="0">
    <w:nsid w:val="43821B64"/>
    <w:multiLevelType w:val="hybridMultilevel"/>
    <w:tmpl w:val="66787B22"/>
    <w:lvl w:ilvl="0" w:tplc="35F44886">
      <w:start w:val="1"/>
      <w:numFmt w:val="lowerLetter"/>
      <w:lvlText w:val="%1."/>
      <w:lvlJc w:val="left"/>
      <w:pPr>
        <w:ind w:left="810" w:hanging="810"/>
      </w:pPr>
      <w:rPr>
        <w:rFonts w:hint="default"/>
        <w:color w:val="auto"/>
      </w:rPr>
    </w:lvl>
    <w:lvl w:ilvl="1" w:tplc="04090019">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28" w15:restartNumberingAfterBreak="0">
    <w:nsid w:val="482C012B"/>
    <w:multiLevelType w:val="multilevel"/>
    <w:tmpl w:val="D93EB0D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D284CCB"/>
    <w:multiLevelType w:val="multilevel"/>
    <w:tmpl w:val="D1A2BEF2"/>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210D28"/>
    <w:multiLevelType w:val="multilevel"/>
    <w:tmpl w:val="A866D632"/>
    <w:lvl w:ilvl="0">
      <w:start w:val="4"/>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F28655A"/>
    <w:multiLevelType w:val="multilevel"/>
    <w:tmpl w:val="2DE4D784"/>
    <w:lvl w:ilvl="0">
      <w:start w:val="5"/>
      <w:numFmt w:val="decimal"/>
      <w:lvlText w:val="%1"/>
      <w:lvlJc w:val="left"/>
      <w:pPr>
        <w:ind w:left="360" w:hanging="360"/>
      </w:pPr>
      <w:rPr>
        <w:rFonts w:ascii="Arial" w:hAnsi="Arial" w:cs="Arial" w:hint="default"/>
        <w:color w:val="auto"/>
      </w:rPr>
    </w:lvl>
    <w:lvl w:ilvl="1">
      <w:start w:val="1"/>
      <w:numFmt w:val="decimal"/>
      <w:lvlText w:val="%1.%2."/>
      <w:lvlJc w:val="left"/>
      <w:pPr>
        <w:ind w:left="792" w:hanging="432"/>
      </w:pPr>
      <w:rPr>
        <w:rFonts w:hint="default"/>
        <w:b w:val="0"/>
        <w:i w:val="0"/>
      </w:rPr>
    </w:lvl>
    <w:lvl w:ilvl="2">
      <w:start w:val="1"/>
      <w:numFmt w:val="lowerLetter"/>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2" w15:restartNumberingAfterBreak="0">
    <w:nsid w:val="4F4727B3"/>
    <w:multiLevelType w:val="hybridMultilevel"/>
    <w:tmpl w:val="A2B6A9E4"/>
    <w:lvl w:ilvl="0" w:tplc="3409000F">
      <w:start w:val="1"/>
      <w:numFmt w:val="decimal"/>
      <w:lvlText w:val="%1."/>
      <w:lvlJc w:val="left"/>
      <w:pPr>
        <w:ind w:left="1440" w:hanging="360"/>
      </w:pPr>
    </w:lvl>
    <w:lvl w:ilvl="1" w:tplc="048E2E9E">
      <w:start w:val="1"/>
      <w:numFmt w:val="lowerLetter"/>
      <w:lvlText w:val="%2."/>
      <w:lvlJc w:val="left"/>
      <w:pPr>
        <w:ind w:left="2160" w:hanging="360"/>
      </w:pPr>
      <w:rPr>
        <w:b w:val="0"/>
        <w:i w:val="0"/>
      </w:r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3" w15:restartNumberingAfterBreak="0">
    <w:nsid w:val="5108694E"/>
    <w:multiLevelType w:val="multilevel"/>
    <w:tmpl w:val="2DB2715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3371C86"/>
    <w:multiLevelType w:val="multilevel"/>
    <w:tmpl w:val="E656FE74"/>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795C14"/>
    <w:multiLevelType w:val="multilevel"/>
    <w:tmpl w:val="14046246"/>
    <w:lvl w:ilvl="0">
      <w:start w:val="10"/>
      <w:numFmt w:val="decimal"/>
      <w:lvlText w:val="%1"/>
      <w:lvlJc w:val="left"/>
      <w:pPr>
        <w:ind w:left="420" w:hanging="420"/>
      </w:pPr>
      <w:rPr>
        <w:rFonts w:hint="default"/>
        <w:color w:val="7030A0"/>
      </w:rPr>
    </w:lvl>
    <w:lvl w:ilvl="1">
      <w:start w:val="1"/>
      <w:numFmt w:val="decimal"/>
      <w:lvlText w:val="%1.%2"/>
      <w:lvlJc w:val="left"/>
      <w:pPr>
        <w:ind w:left="780" w:hanging="420"/>
      </w:pPr>
      <w:rPr>
        <w:rFonts w:hint="default"/>
        <w:color w:val="auto"/>
      </w:rPr>
    </w:lvl>
    <w:lvl w:ilvl="2">
      <w:start w:val="1"/>
      <w:numFmt w:val="decimal"/>
      <w:lvlText w:val="%1.%2.%3"/>
      <w:lvlJc w:val="left"/>
      <w:pPr>
        <w:ind w:left="1440" w:hanging="720"/>
      </w:pPr>
      <w:rPr>
        <w:rFonts w:hint="default"/>
        <w:color w:val="7030A0"/>
      </w:rPr>
    </w:lvl>
    <w:lvl w:ilvl="3">
      <w:start w:val="1"/>
      <w:numFmt w:val="decimal"/>
      <w:lvlText w:val="%1.%2.%3.%4"/>
      <w:lvlJc w:val="left"/>
      <w:pPr>
        <w:ind w:left="1800" w:hanging="720"/>
      </w:pPr>
      <w:rPr>
        <w:rFonts w:hint="default"/>
        <w:color w:val="7030A0"/>
      </w:rPr>
    </w:lvl>
    <w:lvl w:ilvl="4">
      <w:start w:val="1"/>
      <w:numFmt w:val="decimal"/>
      <w:lvlText w:val="%1.%2.%3.%4.%5"/>
      <w:lvlJc w:val="left"/>
      <w:pPr>
        <w:ind w:left="2520" w:hanging="1080"/>
      </w:pPr>
      <w:rPr>
        <w:rFonts w:hint="default"/>
        <w:color w:val="7030A0"/>
      </w:rPr>
    </w:lvl>
    <w:lvl w:ilvl="5">
      <w:start w:val="1"/>
      <w:numFmt w:val="decimal"/>
      <w:lvlText w:val="%1.%2.%3.%4.%5.%6"/>
      <w:lvlJc w:val="left"/>
      <w:pPr>
        <w:ind w:left="2880" w:hanging="1080"/>
      </w:pPr>
      <w:rPr>
        <w:rFonts w:hint="default"/>
        <w:color w:val="7030A0"/>
      </w:rPr>
    </w:lvl>
    <w:lvl w:ilvl="6">
      <w:start w:val="1"/>
      <w:numFmt w:val="decimal"/>
      <w:lvlText w:val="%1.%2.%3.%4.%5.%6.%7"/>
      <w:lvlJc w:val="left"/>
      <w:pPr>
        <w:ind w:left="3600" w:hanging="1440"/>
      </w:pPr>
      <w:rPr>
        <w:rFonts w:hint="default"/>
        <w:color w:val="7030A0"/>
      </w:rPr>
    </w:lvl>
    <w:lvl w:ilvl="7">
      <w:start w:val="1"/>
      <w:numFmt w:val="decimal"/>
      <w:lvlText w:val="%1.%2.%3.%4.%5.%6.%7.%8"/>
      <w:lvlJc w:val="left"/>
      <w:pPr>
        <w:ind w:left="3960" w:hanging="1440"/>
      </w:pPr>
      <w:rPr>
        <w:rFonts w:hint="default"/>
        <w:color w:val="7030A0"/>
      </w:rPr>
    </w:lvl>
    <w:lvl w:ilvl="8">
      <w:start w:val="1"/>
      <w:numFmt w:val="decimal"/>
      <w:lvlText w:val="%1.%2.%3.%4.%5.%6.%7.%8.%9"/>
      <w:lvlJc w:val="left"/>
      <w:pPr>
        <w:ind w:left="4680" w:hanging="1800"/>
      </w:pPr>
      <w:rPr>
        <w:rFonts w:hint="default"/>
        <w:color w:val="7030A0"/>
      </w:rPr>
    </w:lvl>
  </w:abstractNum>
  <w:abstractNum w:abstractNumId="36" w15:restartNumberingAfterBreak="0">
    <w:nsid w:val="591E19CD"/>
    <w:multiLevelType w:val="hybridMultilevel"/>
    <w:tmpl w:val="3FFC332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7" w15:restartNumberingAfterBreak="0">
    <w:nsid w:val="5EE83174"/>
    <w:multiLevelType w:val="hybridMultilevel"/>
    <w:tmpl w:val="FAAE8A20"/>
    <w:lvl w:ilvl="0" w:tplc="3409000F">
      <w:start w:val="1"/>
      <w:numFmt w:val="decimal"/>
      <w:lvlText w:val="%1."/>
      <w:lvlJc w:val="left"/>
      <w:pPr>
        <w:ind w:left="1800" w:hanging="360"/>
      </w:pPr>
      <w:rPr>
        <w:rFonts w:hint="default"/>
      </w:rPr>
    </w:lvl>
    <w:lvl w:ilvl="1" w:tplc="34090019">
      <w:start w:val="1"/>
      <w:numFmt w:val="lowerLetter"/>
      <w:lvlText w:val="%2."/>
      <w:lvlJc w:val="left"/>
      <w:pPr>
        <w:ind w:left="2520" w:hanging="360"/>
      </w:pPr>
      <w:rPr>
        <w:rFonts w:cs="Times New Roman"/>
      </w:rPr>
    </w:lvl>
    <w:lvl w:ilvl="2" w:tplc="3409001B">
      <w:start w:val="1"/>
      <w:numFmt w:val="lowerRoman"/>
      <w:lvlText w:val="%3."/>
      <w:lvlJc w:val="right"/>
      <w:pPr>
        <w:ind w:left="3240" w:hanging="180"/>
      </w:pPr>
      <w:rPr>
        <w:rFonts w:cs="Times New Roman"/>
      </w:rPr>
    </w:lvl>
    <w:lvl w:ilvl="3" w:tplc="3409000F">
      <w:start w:val="1"/>
      <w:numFmt w:val="decimal"/>
      <w:lvlText w:val="%4."/>
      <w:lvlJc w:val="left"/>
      <w:pPr>
        <w:ind w:left="3960" w:hanging="360"/>
      </w:pPr>
      <w:rPr>
        <w:rFonts w:cs="Times New Roman"/>
      </w:rPr>
    </w:lvl>
    <w:lvl w:ilvl="4" w:tplc="34090019">
      <w:start w:val="1"/>
      <w:numFmt w:val="lowerLetter"/>
      <w:lvlText w:val="%5."/>
      <w:lvlJc w:val="left"/>
      <w:pPr>
        <w:ind w:left="4680" w:hanging="360"/>
      </w:pPr>
      <w:rPr>
        <w:rFonts w:cs="Times New Roman"/>
      </w:rPr>
    </w:lvl>
    <w:lvl w:ilvl="5" w:tplc="3409001B">
      <w:start w:val="1"/>
      <w:numFmt w:val="lowerRoman"/>
      <w:lvlText w:val="%6."/>
      <w:lvlJc w:val="right"/>
      <w:pPr>
        <w:ind w:left="5400" w:hanging="180"/>
      </w:pPr>
      <w:rPr>
        <w:rFonts w:cs="Times New Roman"/>
      </w:rPr>
    </w:lvl>
    <w:lvl w:ilvl="6" w:tplc="3409000F">
      <w:start w:val="1"/>
      <w:numFmt w:val="decimal"/>
      <w:lvlText w:val="%7."/>
      <w:lvlJc w:val="left"/>
      <w:pPr>
        <w:ind w:left="6120" w:hanging="360"/>
      </w:pPr>
      <w:rPr>
        <w:rFonts w:cs="Times New Roman"/>
      </w:rPr>
    </w:lvl>
    <w:lvl w:ilvl="7" w:tplc="34090019">
      <w:start w:val="1"/>
      <w:numFmt w:val="lowerLetter"/>
      <w:lvlText w:val="%8."/>
      <w:lvlJc w:val="left"/>
      <w:pPr>
        <w:ind w:left="6840" w:hanging="360"/>
      </w:pPr>
      <w:rPr>
        <w:rFonts w:cs="Times New Roman"/>
      </w:rPr>
    </w:lvl>
    <w:lvl w:ilvl="8" w:tplc="3409001B">
      <w:start w:val="1"/>
      <w:numFmt w:val="lowerRoman"/>
      <w:lvlText w:val="%9."/>
      <w:lvlJc w:val="right"/>
      <w:pPr>
        <w:ind w:left="7560" w:hanging="180"/>
      </w:pPr>
      <w:rPr>
        <w:rFonts w:cs="Times New Roman"/>
      </w:rPr>
    </w:lvl>
  </w:abstractNum>
  <w:abstractNum w:abstractNumId="38" w15:restartNumberingAfterBreak="0">
    <w:nsid w:val="60AA2839"/>
    <w:multiLevelType w:val="hybridMultilevel"/>
    <w:tmpl w:val="AE5441E0"/>
    <w:lvl w:ilvl="0" w:tplc="3409000F">
      <w:start w:val="1"/>
      <w:numFmt w:val="decimal"/>
      <w:lvlText w:val="%1."/>
      <w:lvlJc w:val="left"/>
      <w:pPr>
        <w:ind w:left="1275" w:hanging="360"/>
      </w:pPr>
    </w:lvl>
    <w:lvl w:ilvl="1" w:tplc="34090019" w:tentative="1">
      <w:start w:val="1"/>
      <w:numFmt w:val="lowerLetter"/>
      <w:lvlText w:val="%2."/>
      <w:lvlJc w:val="left"/>
      <w:pPr>
        <w:ind w:left="1995" w:hanging="360"/>
      </w:pPr>
    </w:lvl>
    <w:lvl w:ilvl="2" w:tplc="3409001B" w:tentative="1">
      <w:start w:val="1"/>
      <w:numFmt w:val="lowerRoman"/>
      <w:lvlText w:val="%3."/>
      <w:lvlJc w:val="right"/>
      <w:pPr>
        <w:ind w:left="2715" w:hanging="180"/>
      </w:pPr>
    </w:lvl>
    <w:lvl w:ilvl="3" w:tplc="3409000F" w:tentative="1">
      <w:start w:val="1"/>
      <w:numFmt w:val="decimal"/>
      <w:lvlText w:val="%4."/>
      <w:lvlJc w:val="left"/>
      <w:pPr>
        <w:ind w:left="3435" w:hanging="360"/>
      </w:pPr>
    </w:lvl>
    <w:lvl w:ilvl="4" w:tplc="34090019" w:tentative="1">
      <w:start w:val="1"/>
      <w:numFmt w:val="lowerLetter"/>
      <w:lvlText w:val="%5."/>
      <w:lvlJc w:val="left"/>
      <w:pPr>
        <w:ind w:left="4155" w:hanging="360"/>
      </w:pPr>
    </w:lvl>
    <w:lvl w:ilvl="5" w:tplc="3409001B" w:tentative="1">
      <w:start w:val="1"/>
      <w:numFmt w:val="lowerRoman"/>
      <w:lvlText w:val="%6."/>
      <w:lvlJc w:val="right"/>
      <w:pPr>
        <w:ind w:left="4875" w:hanging="180"/>
      </w:pPr>
    </w:lvl>
    <w:lvl w:ilvl="6" w:tplc="3409000F" w:tentative="1">
      <w:start w:val="1"/>
      <w:numFmt w:val="decimal"/>
      <w:lvlText w:val="%7."/>
      <w:lvlJc w:val="left"/>
      <w:pPr>
        <w:ind w:left="5595" w:hanging="360"/>
      </w:pPr>
    </w:lvl>
    <w:lvl w:ilvl="7" w:tplc="34090019" w:tentative="1">
      <w:start w:val="1"/>
      <w:numFmt w:val="lowerLetter"/>
      <w:lvlText w:val="%8."/>
      <w:lvlJc w:val="left"/>
      <w:pPr>
        <w:ind w:left="6315" w:hanging="360"/>
      </w:pPr>
    </w:lvl>
    <w:lvl w:ilvl="8" w:tplc="3409001B" w:tentative="1">
      <w:start w:val="1"/>
      <w:numFmt w:val="lowerRoman"/>
      <w:lvlText w:val="%9."/>
      <w:lvlJc w:val="right"/>
      <w:pPr>
        <w:ind w:left="7035" w:hanging="180"/>
      </w:pPr>
    </w:lvl>
  </w:abstractNum>
  <w:abstractNum w:abstractNumId="39" w15:restartNumberingAfterBreak="0">
    <w:nsid w:val="650E1A02"/>
    <w:multiLevelType w:val="hybridMultilevel"/>
    <w:tmpl w:val="D6A8AB80"/>
    <w:lvl w:ilvl="0" w:tplc="B1EA12F8">
      <w:start w:val="1"/>
      <w:numFmt w:val="lowerLetter"/>
      <w:lvlText w:val="%1."/>
      <w:lvlJc w:val="left"/>
      <w:pPr>
        <w:ind w:left="1440" w:hanging="360"/>
      </w:pPr>
      <w:rPr>
        <w:rFonts w:ascii="Arial" w:hAnsi="Arial" w:cs="Arial" w:hint="default"/>
        <w:b/>
        <w:sz w:val="22"/>
        <w:szCs w:val="22"/>
      </w:rPr>
    </w:lvl>
    <w:lvl w:ilvl="1" w:tplc="2034DF32" w:tentative="1">
      <w:start w:val="1"/>
      <w:numFmt w:val="lowerLetter"/>
      <w:lvlText w:val="%2."/>
      <w:lvlJc w:val="left"/>
      <w:pPr>
        <w:ind w:left="2160" w:hanging="360"/>
      </w:pPr>
    </w:lvl>
    <w:lvl w:ilvl="2" w:tplc="36744992" w:tentative="1">
      <w:start w:val="1"/>
      <w:numFmt w:val="lowerRoman"/>
      <w:lvlText w:val="%3."/>
      <w:lvlJc w:val="right"/>
      <w:pPr>
        <w:ind w:left="2880" w:hanging="180"/>
      </w:pPr>
    </w:lvl>
    <w:lvl w:ilvl="3" w:tplc="E6E6A0D0" w:tentative="1">
      <w:start w:val="1"/>
      <w:numFmt w:val="decimal"/>
      <w:lvlText w:val="%4."/>
      <w:lvlJc w:val="left"/>
      <w:pPr>
        <w:ind w:left="3600" w:hanging="360"/>
      </w:pPr>
    </w:lvl>
    <w:lvl w:ilvl="4" w:tplc="EE1070D4" w:tentative="1">
      <w:start w:val="1"/>
      <w:numFmt w:val="lowerLetter"/>
      <w:lvlText w:val="%5."/>
      <w:lvlJc w:val="left"/>
      <w:pPr>
        <w:ind w:left="4320" w:hanging="360"/>
      </w:pPr>
    </w:lvl>
    <w:lvl w:ilvl="5" w:tplc="FB1A9CBC" w:tentative="1">
      <w:start w:val="1"/>
      <w:numFmt w:val="lowerRoman"/>
      <w:lvlText w:val="%6."/>
      <w:lvlJc w:val="right"/>
      <w:pPr>
        <w:ind w:left="5040" w:hanging="180"/>
      </w:pPr>
    </w:lvl>
    <w:lvl w:ilvl="6" w:tplc="834EAE5E" w:tentative="1">
      <w:start w:val="1"/>
      <w:numFmt w:val="decimal"/>
      <w:lvlText w:val="%7."/>
      <w:lvlJc w:val="left"/>
      <w:pPr>
        <w:ind w:left="5760" w:hanging="360"/>
      </w:pPr>
    </w:lvl>
    <w:lvl w:ilvl="7" w:tplc="B958EEAA" w:tentative="1">
      <w:start w:val="1"/>
      <w:numFmt w:val="lowerLetter"/>
      <w:lvlText w:val="%8."/>
      <w:lvlJc w:val="left"/>
      <w:pPr>
        <w:ind w:left="6480" w:hanging="360"/>
      </w:pPr>
    </w:lvl>
    <w:lvl w:ilvl="8" w:tplc="AD22646E" w:tentative="1">
      <w:start w:val="1"/>
      <w:numFmt w:val="lowerRoman"/>
      <w:lvlText w:val="%9."/>
      <w:lvlJc w:val="right"/>
      <w:pPr>
        <w:ind w:left="7200" w:hanging="180"/>
      </w:pPr>
    </w:lvl>
  </w:abstractNum>
  <w:abstractNum w:abstractNumId="40" w15:restartNumberingAfterBreak="0">
    <w:nsid w:val="6E1153B8"/>
    <w:multiLevelType w:val="hybridMultilevel"/>
    <w:tmpl w:val="1E5625B2"/>
    <w:lvl w:ilvl="0" w:tplc="971EEB08">
      <w:start w:val="1"/>
      <w:numFmt w:val="low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22632"/>
    <w:multiLevelType w:val="multilevel"/>
    <w:tmpl w:val="40043A88"/>
    <w:lvl w:ilvl="0">
      <w:start w:val="1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1DF36CF"/>
    <w:multiLevelType w:val="multilevel"/>
    <w:tmpl w:val="3409001F"/>
    <w:numStyleLink w:val="Style1"/>
  </w:abstractNum>
  <w:abstractNum w:abstractNumId="43" w15:restartNumberingAfterBreak="0">
    <w:nsid w:val="72CA7496"/>
    <w:multiLevelType w:val="multilevel"/>
    <w:tmpl w:val="3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4" w15:restartNumberingAfterBreak="0">
    <w:nsid w:val="73653955"/>
    <w:multiLevelType w:val="hybridMultilevel"/>
    <w:tmpl w:val="7B18D244"/>
    <w:lvl w:ilvl="0" w:tplc="34090019">
      <w:start w:val="1"/>
      <w:numFmt w:val="lowerLetter"/>
      <w:lvlText w:val="%1."/>
      <w:lvlJc w:val="left"/>
      <w:pPr>
        <w:ind w:left="1170" w:hanging="360"/>
      </w:pPr>
    </w:lvl>
    <w:lvl w:ilvl="1" w:tplc="34090019" w:tentative="1">
      <w:start w:val="1"/>
      <w:numFmt w:val="lowerLetter"/>
      <w:lvlText w:val="%2."/>
      <w:lvlJc w:val="left"/>
      <w:pPr>
        <w:ind w:left="1890" w:hanging="360"/>
      </w:pPr>
    </w:lvl>
    <w:lvl w:ilvl="2" w:tplc="3409001B" w:tentative="1">
      <w:start w:val="1"/>
      <w:numFmt w:val="lowerRoman"/>
      <w:lvlText w:val="%3."/>
      <w:lvlJc w:val="right"/>
      <w:pPr>
        <w:ind w:left="2610" w:hanging="180"/>
      </w:pPr>
    </w:lvl>
    <w:lvl w:ilvl="3" w:tplc="3409000F" w:tentative="1">
      <w:start w:val="1"/>
      <w:numFmt w:val="decimal"/>
      <w:lvlText w:val="%4."/>
      <w:lvlJc w:val="left"/>
      <w:pPr>
        <w:ind w:left="3330" w:hanging="360"/>
      </w:pPr>
    </w:lvl>
    <w:lvl w:ilvl="4" w:tplc="34090019" w:tentative="1">
      <w:start w:val="1"/>
      <w:numFmt w:val="lowerLetter"/>
      <w:lvlText w:val="%5."/>
      <w:lvlJc w:val="left"/>
      <w:pPr>
        <w:ind w:left="4050" w:hanging="360"/>
      </w:pPr>
    </w:lvl>
    <w:lvl w:ilvl="5" w:tplc="3409001B" w:tentative="1">
      <w:start w:val="1"/>
      <w:numFmt w:val="lowerRoman"/>
      <w:lvlText w:val="%6."/>
      <w:lvlJc w:val="right"/>
      <w:pPr>
        <w:ind w:left="4770" w:hanging="180"/>
      </w:pPr>
    </w:lvl>
    <w:lvl w:ilvl="6" w:tplc="3409000F" w:tentative="1">
      <w:start w:val="1"/>
      <w:numFmt w:val="decimal"/>
      <w:lvlText w:val="%7."/>
      <w:lvlJc w:val="left"/>
      <w:pPr>
        <w:ind w:left="5490" w:hanging="360"/>
      </w:pPr>
    </w:lvl>
    <w:lvl w:ilvl="7" w:tplc="34090019" w:tentative="1">
      <w:start w:val="1"/>
      <w:numFmt w:val="lowerLetter"/>
      <w:lvlText w:val="%8."/>
      <w:lvlJc w:val="left"/>
      <w:pPr>
        <w:ind w:left="6210" w:hanging="360"/>
      </w:pPr>
    </w:lvl>
    <w:lvl w:ilvl="8" w:tplc="3409001B" w:tentative="1">
      <w:start w:val="1"/>
      <w:numFmt w:val="lowerRoman"/>
      <w:lvlText w:val="%9."/>
      <w:lvlJc w:val="right"/>
      <w:pPr>
        <w:ind w:left="6930" w:hanging="180"/>
      </w:pPr>
    </w:lvl>
  </w:abstractNum>
  <w:abstractNum w:abstractNumId="45" w15:restartNumberingAfterBreak="0">
    <w:nsid w:val="759F2DB9"/>
    <w:multiLevelType w:val="multilevel"/>
    <w:tmpl w:val="88A21212"/>
    <w:lvl w:ilvl="0">
      <w:start w:val="12"/>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74B57C9"/>
    <w:multiLevelType w:val="multilevel"/>
    <w:tmpl w:val="3409001F"/>
    <w:numStyleLink w:val="Style1"/>
  </w:abstractNum>
  <w:abstractNum w:abstractNumId="47" w15:restartNumberingAfterBreak="0">
    <w:nsid w:val="7CA522BC"/>
    <w:multiLevelType w:val="hybridMultilevel"/>
    <w:tmpl w:val="8F808B06"/>
    <w:lvl w:ilvl="0" w:tplc="3776F96A">
      <w:start w:val="1"/>
      <w:numFmt w:val="lowerLetter"/>
      <w:lvlText w:val="%1."/>
      <w:lvlJc w:val="left"/>
      <w:pPr>
        <w:ind w:left="2700" w:hanging="810"/>
      </w:pPr>
      <w:rPr>
        <w:rFonts w:hint="default"/>
      </w:rPr>
    </w:lvl>
    <w:lvl w:ilvl="1" w:tplc="EFE02498">
      <w:start w:val="1"/>
      <w:numFmt w:val="lowerLetter"/>
      <w:lvlText w:val="%2."/>
      <w:lvlJc w:val="left"/>
      <w:pPr>
        <w:ind w:left="2970" w:hanging="360"/>
      </w:pPr>
      <w:rPr>
        <w:rFonts w:hint="default"/>
      </w:rPr>
    </w:lvl>
    <w:lvl w:ilvl="2" w:tplc="3C76C5CA" w:tentative="1">
      <w:start w:val="1"/>
      <w:numFmt w:val="lowerRoman"/>
      <w:lvlText w:val="%3."/>
      <w:lvlJc w:val="right"/>
      <w:pPr>
        <w:ind w:left="3690" w:hanging="180"/>
      </w:pPr>
    </w:lvl>
    <w:lvl w:ilvl="3" w:tplc="6868FEB2" w:tentative="1">
      <w:start w:val="1"/>
      <w:numFmt w:val="decimal"/>
      <w:lvlText w:val="%4."/>
      <w:lvlJc w:val="left"/>
      <w:pPr>
        <w:ind w:left="4410" w:hanging="360"/>
      </w:pPr>
    </w:lvl>
    <w:lvl w:ilvl="4" w:tplc="BA746F7A" w:tentative="1">
      <w:start w:val="1"/>
      <w:numFmt w:val="lowerLetter"/>
      <w:lvlText w:val="%5."/>
      <w:lvlJc w:val="left"/>
      <w:pPr>
        <w:ind w:left="5130" w:hanging="360"/>
      </w:pPr>
    </w:lvl>
    <w:lvl w:ilvl="5" w:tplc="2D1863AA" w:tentative="1">
      <w:start w:val="1"/>
      <w:numFmt w:val="lowerRoman"/>
      <w:lvlText w:val="%6."/>
      <w:lvlJc w:val="right"/>
      <w:pPr>
        <w:ind w:left="5850" w:hanging="180"/>
      </w:pPr>
    </w:lvl>
    <w:lvl w:ilvl="6" w:tplc="F85ED00A" w:tentative="1">
      <w:start w:val="1"/>
      <w:numFmt w:val="decimal"/>
      <w:lvlText w:val="%7."/>
      <w:lvlJc w:val="left"/>
      <w:pPr>
        <w:ind w:left="6570" w:hanging="360"/>
      </w:pPr>
    </w:lvl>
    <w:lvl w:ilvl="7" w:tplc="A5ECEF9C" w:tentative="1">
      <w:start w:val="1"/>
      <w:numFmt w:val="lowerLetter"/>
      <w:lvlText w:val="%8."/>
      <w:lvlJc w:val="left"/>
      <w:pPr>
        <w:ind w:left="7290" w:hanging="360"/>
      </w:pPr>
    </w:lvl>
    <w:lvl w:ilvl="8" w:tplc="F086C9AE" w:tentative="1">
      <w:start w:val="1"/>
      <w:numFmt w:val="lowerRoman"/>
      <w:lvlText w:val="%9."/>
      <w:lvlJc w:val="right"/>
      <w:pPr>
        <w:ind w:left="8010" w:hanging="180"/>
      </w:pPr>
    </w:lvl>
  </w:abstractNum>
  <w:abstractNum w:abstractNumId="48" w15:restartNumberingAfterBreak="0">
    <w:nsid w:val="7CF46015"/>
    <w:multiLevelType w:val="multilevel"/>
    <w:tmpl w:val="366AFD30"/>
    <w:lvl w:ilvl="0">
      <w:start w:val="1"/>
      <w:numFmt w:val="decimal"/>
      <w:lvlText w:val="%1"/>
      <w:lvlJc w:val="left"/>
      <w:pPr>
        <w:ind w:left="360" w:hanging="360"/>
      </w:pPr>
      <w:rPr>
        <w:rFonts w:ascii="Arial" w:hAnsi="Arial" w:cs="Arial" w:hint="default"/>
        <w:color w:val="auto"/>
      </w:rPr>
    </w:lvl>
    <w:lvl w:ilvl="1">
      <w:start w:val="1"/>
      <w:numFmt w:val="decimal"/>
      <w:lvlText w:val="%1.%2."/>
      <w:lvlJc w:val="left"/>
      <w:pPr>
        <w:ind w:left="792" w:hanging="432"/>
      </w:pPr>
      <w:rPr>
        <w:rFonts w:hint="default"/>
        <w:b w:val="0"/>
        <w:i w:val="0"/>
      </w:rPr>
    </w:lvl>
    <w:lvl w:ilvl="2">
      <w:start w:val="1"/>
      <w:numFmt w:val="lowerLetter"/>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9" w15:restartNumberingAfterBreak="0">
    <w:nsid w:val="7EAA208F"/>
    <w:multiLevelType w:val="hybridMultilevel"/>
    <w:tmpl w:val="B0D8E614"/>
    <w:lvl w:ilvl="0" w:tplc="0BD2F742">
      <w:start w:val="1"/>
      <w:numFmt w:val="lowerLetter"/>
      <w:lvlText w:val="%1."/>
      <w:lvlJc w:val="left"/>
      <w:pPr>
        <w:ind w:left="1080" w:hanging="360"/>
      </w:pPr>
      <w:rPr>
        <w:rFonts w:ascii="Arial" w:eastAsia="Times New Roman" w:hAnsi="Arial" w:cs="Arial"/>
        <w:sz w:val="22"/>
        <w:szCs w:val="22"/>
      </w:rPr>
    </w:lvl>
    <w:lvl w:ilvl="1" w:tplc="04090019">
      <w:start w:val="1"/>
      <w:numFmt w:val="lowerLetter"/>
      <w:lvlText w:val="%2."/>
      <w:lvlJc w:val="left"/>
      <w:pPr>
        <w:ind w:left="1800" w:hanging="360"/>
      </w:pPr>
      <w:rPr>
        <w:rFonts w:cs="Times New Roman"/>
        <w:color w:val="auto"/>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286AC286">
      <w:start w:val="1"/>
      <w:numFmt w:val="lowerLetter"/>
      <w:lvlText w:val="%5."/>
      <w:lvlJc w:val="left"/>
      <w:pPr>
        <w:ind w:left="3960" w:hanging="360"/>
      </w:pPr>
      <w:rPr>
        <w:rFonts w:cs="Times New Roman"/>
        <w:b/>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38"/>
  </w:num>
  <w:num w:numId="2">
    <w:abstractNumId w:val="22"/>
  </w:num>
  <w:num w:numId="3">
    <w:abstractNumId w:val="7"/>
  </w:num>
  <w:num w:numId="4">
    <w:abstractNumId w:val="4"/>
  </w:num>
  <w:num w:numId="5">
    <w:abstractNumId w:val="37"/>
  </w:num>
  <w:num w:numId="6">
    <w:abstractNumId w:val="16"/>
  </w:num>
  <w:num w:numId="7">
    <w:abstractNumId w:val="13"/>
  </w:num>
  <w:num w:numId="8">
    <w:abstractNumId w:val="10"/>
  </w:num>
  <w:num w:numId="9">
    <w:abstractNumId w:val="47"/>
  </w:num>
  <w:num w:numId="10">
    <w:abstractNumId w:val="40"/>
  </w:num>
  <w:num w:numId="11">
    <w:abstractNumId w:val="27"/>
  </w:num>
  <w:num w:numId="12">
    <w:abstractNumId w:val="24"/>
  </w:num>
  <w:num w:numId="13">
    <w:abstractNumId w:val="20"/>
  </w:num>
  <w:num w:numId="14">
    <w:abstractNumId w:val="43"/>
  </w:num>
  <w:num w:numId="15">
    <w:abstractNumId w:val="49"/>
  </w:num>
  <w:num w:numId="16">
    <w:abstractNumId w:val="1"/>
  </w:num>
  <w:num w:numId="17">
    <w:abstractNumId w:val="32"/>
  </w:num>
  <w:num w:numId="18">
    <w:abstractNumId w:val="3"/>
  </w:num>
  <w:num w:numId="19">
    <w:abstractNumId w:val="18"/>
  </w:num>
  <w:num w:numId="20">
    <w:abstractNumId w:val="39"/>
  </w:num>
  <w:num w:numId="21">
    <w:abstractNumId w:val="34"/>
  </w:num>
  <w:num w:numId="22">
    <w:abstractNumId w:val="29"/>
  </w:num>
  <w:num w:numId="23">
    <w:abstractNumId w:val="8"/>
  </w:num>
  <w:num w:numId="24">
    <w:abstractNumId w:val="0"/>
  </w:num>
  <w:num w:numId="25">
    <w:abstractNumId w:val="17"/>
  </w:num>
  <w:num w:numId="26">
    <w:abstractNumId w:val="15"/>
  </w:num>
  <w:num w:numId="27">
    <w:abstractNumId w:val="26"/>
  </w:num>
  <w:num w:numId="28">
    <w:abstractNumId w:val="30"/>
  </w:num>
  <w:num w:numId="29">
    <w:abstractNumId w:val="12"/>
  </w:num>
  <w:num w:numId="30">
    <w:abstractNumId w:val="42"/>
    <w:lvlOverride w:ilvl="0">
      <w:lvl w:ilvl="0">
        <w:numFmt w:val="decimal"/>
        <w:lvlText w:val=""/>
        <w:lvlJc w:val="left"/>
      </w:lvl>
    </w:lvlOverride>
    <w:lvlOverride w:ilvl="1">
      <w:lvl w:ilvl="1">
        <w:numFmt w:val="decimal"/>
        <w:lvlText w:val=""/>
        <w:lvlJc w:val="left"/>
      </w:lvl>
    </w:lvlOverride>
    <w:lvlOverride w:ilvl="2">
      <w:lvl w:ilvl="2">
        <w:start w:val="1"/>
        <w:numFmt w:val="lowerLetter"/>
        <w:lvlText w:val="%1.%2.%3."/>
        <w:lvlJc w:val="left"/>
        <w:pPr>
          <w:ind w:left="1224" w:hanging="504"/>
        </w:pPr>
        <w:rPr>
          <w:rFonts w:hint="default"/>
          <w:b w:val="0"/>
        </w:rPr>
      </w:lvl>
    </w:lvlOverride>
  </w:num>
  <w:num w:numId="31">
    <w:abstractNumId w:val="48"/>
  </w:num>
  <w:num w:numId="32">
    <w:abstractNumId w:val="2"/>
  </w:num>
  <w:num w:numId="33">
    <w:abstractNumId w:val="9"/>
  </w:num>
  <w:num w:numId="34">
    <w:abstractNumId w:val="31"/>
  </w:num>
  <w:num w:numId="35">
    <w:abstractNumId w:val="19"/>
  </w:num>
  <w:num w:numId="36">
    <w:abstractNumId w:val="23"/>
  </w:num>
  <w:num w:numId="37">
    <w:abstractNumId w:val="11"/>
  </w:num>
  <w:num w:numId="38">
    <w:abstractNumId w:val="14"/>
  </w:num>
  <w:num w:numId="39">
    <w:abstractNumId w:val="21"/>
  </w:num>
  <w:num w:numId="40">
    <w:abstractNumId w:val="25"/>
  </w:num>
  <w:num w:numId="41">
    <w:abstractNumId w:val="46"/>
  </w:num>
  <w:num w:numId="42">
    <w:abstractNumId w:val="45"/>
  </w:num>
  <w:num w:numId="43">
    <w:abstractNumId w:val="5"/>
  </w:num>
  <w:num w:numId="44">
    <w:abstractNumId w:val="41"/>
  </w:num>
  <w:num w:numId="45">
    <w:abstractNumId w:val="6"/>
    <w:lvlOverride w:ilvl="0">
      <w:lvl w:ilvl="0">
        <w:numFmt w:val="decimal"/>
        <w:lvlText w:val=""/>
        <w:lvlJc w:val="left"/>
      </w:lvl>
    </w:lvlOverride>
    <w:lvlOverride w:ilvl="1">
      <w:lvl w:ilvl="1">
        <w:start w:val="1"/>
        <w:numFmt w:val="decimal"/>
        <w:lvlText w:val="%1.%2."/>
        <w:lvlJc w:val="left"/>
        <w:pPr>
          <w:ind w:left="792" w:hanging="432"/>
        </w:pPr>
        <w:rPr>
          <w:rFonts w:hint="default"/>
          <w:b w:val="0"/>
          <w:i w:val="0"/>
          <w:color w:val="auto"/>
        </w:rPr>
      </w:lvl>
    </w:lvlOverride>
  </w:num>
  <w:num w:numId="46">
    <w:abstractNumId w:val="33"/>
  </w:num>
  <w:num w:numId="47">
    <w:abstractNumId w:val="28"/>
  </w:num>
  <w:num w:numId="48">
    <w:abstractNumId w:val="35"/>
  </w:num>
  <w:num w:numId="49">
    <w:abstractNumId w:val="44"/>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C3363"/>
    <w:rsid w:val="0000045B"/>
    <w:rsid w:val="00000B18"/>
    <w:rsid w:val="00000E85"/>
    <w:rsid w:val="00000EB7"/>
    <w:rsid w:val="000012EE"/>
    <w:rsid w:val="0000154B"/>
    <w:rsid w:val="0000255B"/>
    <w:rsid w:val="0000288D"/>
    <w:rsid w:val="00002AEA"/>
    <w:rsid w:val="0000321D"/>
    <w:rsid w:val="0000343C"/>
    <w:rsid w:val="00003593"/>
    <w:rsid w:val="00004694"/>
    <w:rsid w:val="00004E32"/>
    <w:rsid w:val="00005B6B"/>
    <w:rsid w:val="00005D85"/>
    <w:rsid w:val="00006829"/>
    <w:rsid w:val="00006C8B"/>
    <w:rsid w:val="00006FA2"/>
    <w:rsid w:val="0000706F"/>
    <w:rsid w:val="00007462"/>
    <w:rsid w:val="000079BB"/>
    <w:rsid w:val="00007E76"/>
    <w:rsid w:val="0001034E"/>
    <w:rsid w:val="000103AE"/>
    <w:rsid w:val="00010E1C"/>
    <w:rsid w:val="00011EEC"/>
    <w:rsid w:val="00013059"/>
    <w:rsid w:val="0001518E"/>
    <w:rsid w:val="0001649C"/>
    <w:rsid w:val="00016642"/>
    <w:rsid w:val="00016F91"/>
    <w:rsid w:val="000171D1"/>
    <w:rsid w:val="000212A6"/>
    <w:rsid w:val="00021456"/>
    <w:rsid w:val="00021C4C"/>
    <w:rsid w:val="00021CA5"/>
    <w:rsid w:val="000221E5"/>
    <w:rsid w:val="0002237B"/>
    <w:rsid w:val="000243FA"/>
    <w:rsid w:val="000249A7"/>
    <w:rsid w:val="00024BC7"/>
    <w:rsid w:val="00024F0B"/>
    <w:rsid w:val="000252E6"/>
    <w:rsid w:val="00025664"/>
    <w:rsid w:val="000267A5"/>
    <w:rsid w:val="00026F4D"/>
    <w:rsid w:val="000271CA"/>
    <w:rsid w:val="0003010B"/>
    <w:rsid w:val="0003032F"/>
    <w:rsid w:val="000304B9"/>
    <w:rsid w:val="00030C85"/>
    <w:rsid w:val="000316A8"/>
    <w:rsid w:val="00031727"/>
    <w:rsid w:val="00032288"/>
    <w:rsid w:val="0003352B"/>
    <w:rsid w:val="00033D9A"/>
    <w:rsid w:val="00034722"/>
    <w:rsid w:val="00034BE4"/>
    <w:rsid w:val="00034C4E"/>
    <w:rsid w:val="00035410"/>
    <w:rsid w:val="00036032"/>
    <w:rsid w:val="000360DB"/>
    <w:rsid w:val="00036511"/>
    <w:rsid w:val="00036C83"/>
    <w:rsid w:val="00037535"/>
    <w:rsid w:val="00037691"/>
    <w:rsid w:val="000378F1"/>
    <w:rsid w:val="00037FFA"/>
    <w:rsid w:val="00041E0E"/>
    <w:rsid w:val="00042B23"/>
    <w:rsid w:val="0004390E"/>
    <w:rsid w:val="000443A1"/>
    <w:rsid w:val="00044979"/>
    <w:rsid w:val="00045C3A"/>
    <w:rsid w:val="00046B92"/>
    <w:rsid w:val="00046CAE"/>
    <w:rsid w:val="000471ED"/>
    <w:rsid w:val="00050512"/>
    <w:rsid w:val="000510FB"/>
    <w:rsid w:val="00052194"/>
    <w:rsid w:val="000522B3"/>
    <w:rsid w:val="00052576"/>
    <w:rsid w:val="00052AE3"/>
    <w:rsid w:val="00052FEF"/>
    <w:rsid w:val="00053283"/>
    <w:rsid w:val="00053531"/>
    <w:rsid w:val="000541D6"/>
    <w:rsid w:val="000542A6"/>
    <w:rsid w:val="00054A0C"/>
    <w:rsid w:val="00054BB5"/>
    <w:rsid w:val="000554AF"/>
    <w:rsid w:val="0005572F"/>
    <w:rsid w:val="00055D1B"/>
    <w:rsid w:val="00055EBE"/>
    <w:rsid w:val="0005650A"/>
    <w:rsid w:val="00056B55"/>
    <w:rsid w:val="00056EF2"/>
    <w:rsid w:val="00056FB1"/>
    <w:rsid w:val="00057917"/>
    <w:rsid w:val="00057EDE"/>
    <w:rsid w:val="00060605"/>
    <w:rsid w:val="0006065E"/>
    <w:rsid w:val="0006123A"/>
    <w:rsid w:val="0006191F"/>
    <w:rsid w:val="00061A43"/>
    <w:rsid w:val="00061C41"/>
    <w:rsid w:val="000622C8"/>
    <w:rsid w:val="00062ACC"/>
    <w:rsid w:val="00062E4A"/>
    <w:rsid w:val="00063A7D"/>
    <w:rsid w:val="00063C10"/>
    <w:rsid w:val="000643E4"/>
    <w:rsid w:val="00064412"/>
    <w:rsid w:val="00065505"/>
    <w:rsid w:val="000657E4"/>
    <w:rsid w:val="0006624C"/>
    <w:rsid w:val="00066816"/>
    <w:rsid w:val="000676A7"/>
    <w:rsid w:val="000677BC"/>
    <w:rsid w:val="0006786F"/>
    <w:rsid w:val="00067EF9"/>
    <w:rsid w:val="0007058D"/>
    <w:rsid w:val="000707B6"/>
    <w:rsid w:val="0007132C"/>
    <w:rsid w:val="000725F5"/>
    <w:rsid w:val="00072EC4"/>
    <w:rsid w:val="00073607"/>
    <w:rsid w:val="00073D03"/>
    <w:rsid w:val="00074234"/>
    <w:rsid w:val="000755F7"/>
    <w:rsid w:val="00075DC0"/>
    <w:rsid w:val="0007778E"/>
    <w:rsid w:val="000800B1"/>
    <w:rsid w:val="00080B51"/>
    <w:rsid w:val="00081833"/>
    <w:rsid w:val="00081E1F"/>
    <w:rsid w:val="00082FDF"/>
    <w:rsid w:val="00083082"/>
    <w:rsid w:val="00083D08"/>
    <w:rsid w:val="00083FBC"/>
    <w:rsid w:val="000862C6"/>
    <w:rsid w:val="00087DDC"/>
    <w:rsid w:val="000900ED"/>
    <w:rsid w:val="000905CB"/>
    <w:rsid w:val="00090794"/>
    <w:rsid w:val="0009081C"/>
    <w:rsid w:val="000917E4"/>
    <w:rsid w:val="00091A0D"/>
    <w:rsid w:val="00091F9D"/>
    <w:rsid w:val="00092891"/>
    <w:rsid w:val="00093723"/>
    <w:rsid w:val="000949A1"/>
    <w:rsid w:val="00094D67"/>
    <w:rsid w:val="00095F80"/>
    <w:rsid w:val="00096207"/>
    <w:rsid w:val="00096B62"/>
    <w:rsid w:val="00096E09"/>
    <w:rsid w:val="00097A23"/>
    <w:rsid w:val="000A09C3"/>
    <w:rsid w:val="000A15BF"/>
    <w:rsid w:val="000A168A"/>
    <w:rsid w:val="000A2A27"/>
    <w:rsid w:val="000A31AC"/>
    <w:rsid w:val="000A40C5"/>
    <w:rsid w:val="000A4668"/>
    <w:rsid w:val="000A4963"/>
    <w:rsid w:val="000A5BA2"/>
    <w:rsid w:val="000A5FCC"/>
    <w:rsid w:val="000A6767"/>
    <w:rsid w:val="000A6D6D"/>
    <w:rsid w:val="000A7A30"/>
    <w:rsid w:val="000B008D"/>
    <w:rsid w:val="000B104A"/>
    <w:rsid w:val="000B3324"/>
    <w:rsid w:val="000B3EDE"/>
    <w:rsid w:val="000B4035"/>
    <w:rsid w:val="000B409A"/>
    <w:rsid w:val="000B41C4"/>
    <w:rsid w:val="000B4773"/>
    <w:rsid w:val="000B4BD6"/>
    <w:rsid w:val="000B5BED"/>
    <w:rsid w:val="000B6241"/>
    <w:rsid w:val="000B64CE"/>
    <w:rsid w:val="000B67C6"/>
    <w:rsid w:val="000B7301"/>
    <w:rsid w:val="000B73D2"/>
    <w:rsid w:val="000B76D7"/>
    <w:rsid w:val="000C0496"/>
    <w:rsid w:val="000C054B"/>
    <w:rsid w:val="000C12D0"/>
    <w:rsid w:val="000C1435"/>
    <w:rsid w:val="000C2461"/>
    <w:rsid w:val="000C27A3"/>
    <w:rsid w:val="000C2A7C"/>
    <w:rsid w:val="000C322A"/>
    <w:rsid w:val="000C3BBA"/>
    <w:rsid w:val="000C4085"/>
    <w:rsid w:val="000C41A6"/>
    <w:rsid w:val="000C49AD"/>
    <w:rsid w:val="000C5DEF"/>
    <w:rsid w:val="000C5E48"/>
    <w:rsid w:val="000C647E"/>
    <w:rsid w:val="000C6B75"/>
    <w:rsid w:val="000C6E60"/>
    <w:rsid w:val="000C7BAE"/>
    <w:rsid w:val="000C7E6E"/>
    <w:rsid w:val="000D28CA"/>
    <w:rsid w:val="000D2C23"/>
    <w:rsid w:val="000D3427"/>
    <w:rsid w:val="000D3A7D"/>
    <w:rsid w:val="000D40D3"/>
    <w:rsid w:val="000D477F"/>
    <w:rsid w:val="000D4C4A"/>
    <w:rsid w:val="000D4EE2"/>
    <w:rsid w:val="000D5827"/>
    <w:rsid w:val="000D5853"/>
    <w:rsid w:val="000D58D5"/>
    <w:rsid w:val="000D5ECA"/>
    <w:rsid w:val="000D641E"/>
    <w:rsid w:val="000D660E"/>
    <w:rsid w:val="000D6DB4"/>
    <w:rsid w:val="000D7048"/>
    <w:rsid w:val="000D707E"/>
    <w:rsid w:val="000D73C5"/>
    <w:rsid w:val="000E03C8"/>
    <w:rsid w:val="000E0B6F"/>
    <w:rsid w:val="000E0F0F"/>
    <w:rsid w:val="000E1979"/>
    <w:rsid w:val="000E25D6"/>
    <w:rsid w:val="000E2BA1"/>
    <w:rsid w:val="000E346E"/>
    <w:rsid w:val="000E38BC"/>
    <w:rsid w:val="000E3FCC"/>
    <w:rsid w:val="000E419E"/>
    <w:rsid w:val="000E4534"/>
    <w:rsid w:val="000E455E"/>
    <w:rsid w:val="000E4EB3"/>
    <w:rsid w:val="000E51AE"/>
    <w:rsid w:val="000E57FE"/>
    <w:rsid w:val="000E5E0B"/>
    <w:rsid w:val="000E5FA4"/>
    <w:rsid w:val="000E5FB4"/>
    <w:rsid w:val="000E639A"/>
    <w:rsid w:val="000E6435"/>
    <w:rsid w:val="000E67CC"/>
    <w:rsid w:val="000E6C4B"/>
    <w:rsid w:val="000E6D8F"/>
    <w:rsid w:val="000E7707"/>
    <w:rsid w:val="000F01F1"/>
    <w:rsid w:val="000F028C"/>
    <w:rsid w:val="000F06E4"/>
    <w:rsid w:val="000F1216"/>
    <w:rsid w:val="000F2A3C"/>
    <w:rsid w:val="000F32EC"/>
    <w:rsid w:val="000F331F"/>
    <w:rsid w:val="000F33AD"/>
    <w:rsid w:val="000F37E3"/>
    <w:rsid w:val="000F3D67"/>
    <w:rsid w:val="000F462E"/>
    <w:rsid w:val="000F5CC6"/>
    <w:rsid w:val="000F6A58"/>
    <w:rsid w:val="000F7158"/>
    <w:rsid w:val="000F7A1A"/>
    <w:rsid w:val="00100576"/>
    <w:rsid w:val="0010086A"/>
    <w:rsid w:val="0010154A"/>
    <w:rsid w:val="001016F5"/>
    <w:rsid w:val="00101C23"/>
    <w:rsid w:val="00102D45"/>
    <w:rsid w:val="00104F27"/>
    <w:rsid w:val="00105125"/>
    <w:rsid w:val="00105489"/>
    <w:rsid w:val="00106733"/>
    <w:rsid w:val="00106B41"/>
    <w:rsid w:val="001070D7"/>
    <w:rsid w:val="001072D7"/>
    <w:rsid w:val="001078AD"/>
    <w:rsid w:val="00107941"/>
    <w:rsid w:val="001133EA"/>
    <w:rsid w:val="00113D8A"/>
    <w:rsid w:val="00114184"/>
    <w:rsid w:val="00114D7B"/>
    <w:rsid w:val="00114DF2"/>
    <w:rsid w:val="00114E91"/>
    <w:rsid w:val="00114F1F"/>
    <w:rsid w:val="00116710"/>
    <w:rsid w:val="0011672B"/>
    <w:rsid w:val="00117F14"/>
    <w:rsid w:val="00121491"/>
    <w:rsid w:val="00121680"/>
    <w:rsid w:val="001235EF"/>
    <w:rsid w:val="0012360A"/>
    <w:rsid w:val="00123844"/>
    <w:rsid w:val="00125729"/>
    <w:rsid w:val="00125C87"/>
    <w:rsid w:val="00125D11"/>
    <w:rsid w:val="001262E8"/>
    <w:rsid w:val="001271D7"/>
    <w:rsid w:val="00127DA8"/>
    <w:rsid w:val="0013090C"/>
    <w:rsid w:val="00131006"/>
    <w:rsid w:val="001327AD"/>
    <w:rsid w:val="001329FC"/>
    <w:rsid w:val="00132A5E"/>
    <w:rsid w:val="00132B7E"/>
    <w:rsid w:val="0013415B"/>
    <w:rsid w:val="00135B79"/>
    <w:rsid w:val="001364F6"/>
    <w:rsid w:val="0013791F"/>
    <w:rsid w:val="001379E0"/>
    <w:rsid w:val="00140EDE"/>
    <w:rsid w:val="00141339"/>
    <w:rsid w:val="001419C0"/>
    <w:rsid w:val="00141F58"/>
    <w:rsid w:val="001427E2"/>
    <w:rsid w:val="001436B6"/>
    <w:rsid w:val="0014375C"/>
    <w:rsid w:val="00143A81"/>
    <w:rsid w:val="00143BFF"/>
    <w:rsid w:val="001443D8"/>
    <w:rsid w:val="00144FBF"/>
    <w:rsid w:val="0014530E"/>
    <w:rsid w:val="00145E48"/>
    <w:rsid w:val="00146811"/>
    <w:rsid w:val="00146C46"/>
    <w:rsid w:val="001474EB"/>
    <w:rsid w:val="00150093"/>
    <w:rsid w:val="001503EB"/>
    <w:rsid w:val="00150CE0"/>
    <w:rsid w:val="00150FCD"/>
    <w:rsid w:val="00151744"/>
    <w:rsid w:val="001519CC"/>
    <w:rsid w:val="00151F03"/>
    <w:rsid w:val="0015285F"/>
    <w:rsid w:val="0015299A"/>
    <w:rsid w:val="0015343E"/>
    <w:rsid w:val="0015366D"/>
    <w:rsid w:val="00153B1D"/>
    <w:rsid w:val="0015653D"/>
    <w:rsid w:val="00156656"/>
    <w:rsid w:val="00156ACA"/>
    <w:rsid w:val="0015749F"/>
    <w:rsid w:val="00157C56"/>
    <w:rsid w:val="0016067D"/>
    <w:rsid w:val="0016178B"/>
    <w:rsid w:val="0016190C"/>
    <w:rsid w:val="00161C1D"/>
    <w:rsid w:val="00161D65"/>
    <w:rsid w:val="0016203E"/>
    <w:rsid w:val="001622AE"/>
    <w:rsid w:val="00162772"/>
    <w:rsid w:val="00162D3A"/>
    <w:rsid w:val="00163DBA"/>
    <w:rsid w:val="00163F61"/>
    <w:rsid w:val="001642B3"/>
    <w:rsid w:val="00164472"/>
    <w:rsid w:val="00166BE5"/>
    <w:rsid w:val="001671E8"/>
    <w:rsid w:val="00167201"/>
    <w:rsid w:val="0016747B"/>
    <w:rsid w:val="00167805"/>
    <w:rsid w:val="00170079"/>
    <w:rsid w:val="00170094"/>
    <w:rsid w:val="001702C8"/>
    <w:rsid w:val="00170589"/>
    <w:rsid w:val="00170C07"/>
    <w:rsid w:val="00170D53"/>
    <w:rsid w:val="0017204B"/>
    <w:rsid w:val="00172121"/>
    <w:rsid w:val="0017302B"/>
    <w:rsid w:val="00173998"/>
    <w:rsid w:val="0017405E"/>
    <w:rsid w:val="0017431A"/>
    <w:rsid w:val="00174577"/>
    <w:rsid w:val="00174782"/>
    <w:rsid w:val="001757DD"/>
    <w:rsid w:val="00175F24"/>
    <w:rsid w:val="00176AE2"/>
    <w:rsid w:val="00176DDF"/>
    <w:rsid w:val="00177393"/>
    <w:rsid w:val="00177A55"/>
    <w:rsid w:val="00177D38"/>
    <w:rsid w:val="00180FE0"/>
    <w:rsid w:val="00181516"/>
    <w:rsid w:val="001819CF"/>
    <w:rsid w:val="001822E7"/>
    <w:rsid w:val="001823CB"/>
    <w:rsid w:val="001837E6"/>
    <w:rsid w:val="00184B2A"/>
    <w:rsid w:val="00184C81"/>
    <w:rsid w:val="00185202"/>
    <w:rsid w:val="001857EE"/>
    <w:rsid w:val="001861DD"/>
    <w:rsid w:val="00186666"/>
    <w:rsid w:val="001866DE"/>
    <w:rsid w:val="00186A7B"/>
    <w:rsid w:val="0018735D"/>
    <w:rsid w:val="00187B2F"/>
    <w:rsid w:val="00190D39"/>
    <w:rsid w:val="00191178"/>
    <w:rsid w:val="00191C3F"/>
    <w:rsid w:val="00192A3A"/>
    <w:rsid w:val="00192C43"/>
    <w:rsid w:val="001937C8"/>
    <w:rsid w:val="00193C2C"/>
    <w:rsid w:val="00194C0D"/>
    <w:rsid w:val="00195417"/>
    <w:rsid w:val="0019636E"/>
    <w:rsid w:val="0019675A"/>
    <w:rsid w:val="001974B2"/>
    <w:rsid w:val="00197D61"/>
    <w:rsid w:val="001A00CD"/>
    <w:rsid w:val="001A07B4"/>
    <w:rsid w:val="001A0AE7"/>
    <w:rsid w:val="001A1509"/>
    <w:rsid w:val="001A31C6"/>
    <w:rsid w:val="001A3A3A"/>
    <w:rsid w:val="001A3C5D"/>
    <w:rsid w:val="001A3E34"/>
    <w:rsid w:val="001A4767"/>
    <w:rsid w:val="001A57B3"/>
    <w:rsid w:val="001A58E6"/>
    <w:rsid w:val="001A61DE"/>
    <w:rsid w:val="001A7241"/>
    <w:rsid w:val="001B0224"/>
    <w:rsid w:val="001B0C03"/>
    <w:rsid w:val="001B126B"/>
    <w:rsid w:val="001B1571"/>
    <w:rsid w:val="001B18A1"/>
    <w:rsid w:val="001B1AC6"/>
    <w:rsid w:val="001B1C3D"/>
    <w:rsid w:val="001B1EFE"/>
    <w:rsid w:val="001B2EF2"/>
    <w:rsid w:val="001B3B24"/>
    <w:rsid w:val="001B4030"/>
    <w:rsid w:val="001B40A2"/>
    <w:rsid w:val="001B4775"/>
    <w:rsid w:val="001B4EF0"/>
    <w:rsid w:val="001B5357"/>
    <w:rsid w:val="001B564E"/>
    <w:rsid w:val="001B63FC"/>
    <w:rsid w:val="001B7099"/>
    <w:rsid w:val="001B771F"/>
    <w:rsid w:val="001B774C"/>
    <w:rsid w:val="001B775D"/>
    <w:rsid w:val="001B7B54"/>
    <w:rsid w:val="001B7DC9"/>
    <w:rsid w:val="001C0328"/>
    <w:rsid w:val="001C14E4"/>
    <w:rsid w:val="001C1B80"/>
    <w:rsid w:val="001C2C59"/>
    <w:rsid w:val="001C360B"/>
    <w:rsid w:val="001C39C1"/>
    <w:rsid w:val="001C4024"/>
    <w:rsid w:val="001C402E"/>
    <w:rsid w:val="001C4BA3"/>
    <w:rsid w:val="001C4D33"/>
    <w:rsid w:val="001C52BA"/>
    <w:rsid w:val="001C6A14"/>
    <w:rsid w:val="001C7879"/>
    <w:rsid w:val="001C7B42"/>
    <w:rsid w:val="001C7D55"/>
    <w:rsid w:val="001D0296"/>
    <w:rsid w:val="001D1F96"/>
    <w:rsid w:val="001D28B3"/>
    <w:rsid w:val="001D2CF2"/>
    <w:rsid w:val="001D34D9"/>
    <w:rsid w:val="001D3F8C"/>
    <w:rsid w:val="001D4F42"/>
    <w:rsid w:val="001D5384"/>
    <w:rsid w:val="001D5469"/>
    <w:rsid w:val="001D6ED9"/>
    <w:rsid w:val="001D7DA8"/>
    <w:rsid w:val="001E025A"/>
    <w:rsid w:val="001E048B"/>
    <w:rsid w:val="001E0FFF"/>
    <w:rsid w:val="001E1280"/>
    <w:rsid w:val="001E170E"/>
    <w:rsid w:val="001E1ACC"/>
    <w:rsid w:val="001E2050"/>
    <w:rsid w:val="001E2390"/>
    <w:rsid w:val="001E23D6"/>
    <w:rsid w:val="001E2440"/>
    <w:rsid w:val="001E29EC"/>
    <w:rsid w:val="001E2B14"/>
    <w:rsid w:val="001E2B54"/>
    <w:rsid w:val="001E31C0"/>
    <w:rsid w:val="001E389B"/>
    <w:rsid w:val="001E492B"/>
    <w:rsid w:val="001E5433"/>
    <w:rsid w:val="001E56A0"/>
    <w:rsid w:val="001E5C7C"/>
    <w:rsid w:val="001E6012"/>
    <w:rsid w:val="001E7EA2"/>
    <w:rsid w:val="001E7F7E"/>
    <w:rsid w:val="001F0BC0"/>
    <w:rsid w:val="001F390F"/>
    <w:rsid w:val="001F4665"/>
    <w:rsid w:val="001F4804"/>
    <w:rsid w:val="001F5470"/>
    <w:rsid w:val="001F6112"/>
    <w:rsid w:val="001F6448"/>
    <w:rsid w:val="001F6A96"/>
    <w:rsid w:val="001F73A7"/>
    <w:rsid w:val="001F7C0C"/>
    <w:rsid w:val="00200BA4"/>
    <w:rsid w:val="002012EF"/>
    <w:rsid w:val="0020187E"/>
    <w:rsid w:val="002025D5"/>
    <w:rsid w:val="00202A86"/>
    <w:rsid w:val="00202AF1"/>
    <w:rsid w:val="002033B7"/>
    <w:rsid w:val="0020427E"/>
    <w:rsid w:val="00204F27"/>
    <w:rsid w:val="002058D9"/>
    <w:rsid w:val="00205A92"/>
    <w:rsid w:val="00207054"/>
    <w:rsid w:val="00207072"/>
    <w:rsid w:val="002070AA"/>
    <w:rsid w:val="002072F6"/>
    <w:rsid w:val="00207D52"/>
    <w:rsid w:val="00210A69"/>
    <w:rsid w:val="0021122F"/>
    <w:rsid w:val="0021155B"/>
    <w:rsid w:val="0021188F"/>
    <w:rsid w:val="00213767"/>
    <w:rsid w:val="002143BE"/>
    <w:rsid w:val="00214801"/>
    <w:rsid w:val="00214D65"/>
    <w:rsid w:val="002153C7"/>
    <w:rsid w:val="00215C42"/>
    <w:rsid w:val="00216866"/>
    <w:rsid w:val="00216F07"/>
    <w:rsid w:val="00217385"/>
    <w:rsid w:val="00217411"/>
    <w:rsid w:val="00217A24"/>
    <w:rsid w:val="0022026C"/>
    <w:rsid w:val="0022081B"/>
    <w:rsid w:val="00221286"/>
    <w:rsid w:val="002217DB"/>
    <w:rsid w:val="0022181E"/>
    <w:rsid w:val="002219F8"/>
    <w:rsid w:val="00221A1D"/>
    <w:rsid w:val="00221E4C"/>
    <w:rsid w:val="00222108"/>
    <w:rsid w:val="00222F86"/>
    <w:rsid w:val="0022344E"/>
    <w:rsid w:val="00223762"/>
    <w:rsid w:val="00223878"/>
    <w:rsid w:val="002249A1"/>
    <w:rsid w:val="00225BED"/>
    <w:rsid w:val="00226D3D"/>
    <w:rsid w:val="002270BD"/>
    <w:rsid w:val="002279BB"/>
    <w:rsid w:val="00227C05"/>
    <w:rsid w:val="00227FE2"/>
    <w:rsid w:val="0023000F"/>
    <w:rsid w:val="00230542"/>
    <w:rsid w:val="002306F0"/>
    <w:rsid w:val="00231D92"/>
    <w:rsid w:val="00231E87"/>
    <w:rsid w:val="00231EA0"/>
    <w:rsid w:val="00232A4B"/>
    <w:rsid w:val="00232B76"/>
    <w:rsid w:val="0023325D"/>
    <w:rsid w:val="0023348B"/>
    <w:rsid w:val="002349BD"/>
    <w:rsid w:val="002354E6"/>
    <w:rsid w:val="00235B36"/>
    <w:rsid w:val="00236590"/>
    <w:rsid w:val="00236B3A"/>
    <w:rsid w:val="0024041F"/>
    <w:rsid w:val="00240437"/>
    <w:rsid w:val="0024096E"/>
    <w:rsid w:val="00241414"/>
    <w:rsid w:val="002414EF"/>
    <w:rsid w:val="00241AD1"/>
    <w:rsid w:val="00241F86"/>
    <w:rsid w:val="0024202B"/>
    <w:rsid w:val="002421F6"/>
    <w:rsid w:val="002424A0"/>
    <w:rsid w:val="00242955"/>
    <w:rsid w:val="00242DA3"/>
    <w:rsid w:val="00244230"/>
    <w:rsid w:val="00244E2B"/>
    <w:rsid w:val="002456CB"/>
    <w:rsid w:val="00245967"/>
    <w:rsid w:val="00246578"/>
    <w:rsid w:val="00246936"/>
    <w:rsid w:val="00247001"/>
    <w:rsid w:val="00247250"/>
    <w:rsid w:val="002518C1"/>
    <w:rsid w:val="00251BAE"/>
    <w:rsid w:val="002531A5"/>
    <w:rsid w:val="00253544"/>
    <w:rsid w:val="00253C53"/>
    <w:rsid w:val="002540A7"/>
    <w:rsid w:val="00254D1E"/>
    <w:rsid w:val="00254F1D"/>
    <w:rsid w:val="002553BD"/>
    <w:rsid w:val="002556F1"/>
    <w:rsid w:val="00255B80"/>
    <w:rsid w:val="00256401"/>
    <w:rsid w:val="00256B07"/>
    <w:rsid w:val="00257DF6"/>
    <w:rsid w:val="00260552"/>
    <w:rsid w:val="00260CDB"/>
    <w:rsid w:val="0026130E"/>
    <w:rsid w:val="0026147B"/>
    <w:rsid w:val="00261C66"/>
    <w:rsid w:val="00262BE2"/>
    <w:rsid w:val="00263417"/>
    <w:rsid w:val="00263BEE"/>
    <w:rsid w:val="00263D1A"/>
    <w:rsid w:val="00263DF0"/>
    <w:rsid w:val="00263F8B"/>
    <w:rsid w:val="002649A8"/>
    <w:rsid w:val="0026518A"/>
    <w:rsid w:val="00265419"/>
    <w:rsid w:val="00265A8B"/>
    <w:rsid w:val="00266EE4"/>
    <w:rsid w:val="0026798F"/>
    <w:rsid w:val="002705C7"/>
    <w:rsid w:val="00270FD0"/>
    <w:rsid w:val="002721B8"/>
    <w:rsid w:val="00272A90"/>
    <w:rsid w:val="00272FAE"/>
    <w:rsid w:val="002745BA"/>
    <w:rsid w:val="0027526A"/>
    <w:rsid w:val="002753A1"/>
    <w:rsid w:val="00275A2F"/>
    <w:rsid w:val="0027617B"/>
    <w:rsid w:val="002764DA"/>
    <w:rsid w:val="00277DF3"/>
    <w:rsid w:val="00280C22"/>
    <w:rsid w:val="00281352"/>
    <w:rsid w:val="002813FA"/>
    <w:rsid w:val="00281906"/>
    <w:rsid w:val="002825F0"/>
    <w:rsid w:val="002828D7"/>
    <w:rsid w:val="00282B6C"/>
    <w:rsid w:val="00282CA2"/>
    <w:rsid w:val="00282ECF"/>
    <w:rsid w:val="00283323"/>
    <w:rsid w:val="0028350B"/>
    <w:rsid w:val="00283569"/>
    <w:rsid w:val="00284064"/>
    <w:rsid w:val="002846B2"/>
    <w:rsid w:val="00285225"/>
    <w:rsid w:val="00285584"/>
    <w:rsid w:val="00285D61"/>
    <w:rsid w:val="0028664A"/>
    <w:rsid w:val="00286809"/>
    <w:rsid w:val="00286CF3"/>
    <w:rsid w:val="00287C55"/>
    <w:rsid w:val="002906C8"/>
    <w:rsid w:val="00290A82"/>
    <w:rsid w:val="002910DE"/>
    <w:rsid w:val="00291445"/>
    <w:rsid w:val="0029293A"/>
    <w:rsid w:val="00292ADC"/>
    <w:rsid w:val="0029394F"/>
    <w:rsid w:val="00293ABD"/>
    <w:rsid w:val="00293B46"/>
    <w:rsid w:val="00294A88"/>
    <w:rsid w:val="00295FBE"/>
    <w:rsid w:val="00296AF5"/>
    <w:rsid w:val="00296E33"/>
    <w:rsid w:val="00297DEC"/>
    <w:rsid w:val="002A06D4"/>
    <w:rsid w:val="002A083C"/>
    <w:rsid w:val="002A1888"/>
    <w:rsid w:val="002A1BBA"/>
    <w:rsid w:val="002A28F7"/>
    <w:rsid w:val="002A3A09"/>
    <w:rsid w:val="002A3B03"/>
    <w:rsid w:val="002A3D58"/>
    <w:rsid w:val="002A403E"/>
    <w:rsid w:val="002A5B8B"/>
    <w:rsid w:val="002A60D6"/>
    <w:rsid w:val="002A65D0"/>
    <w:rsid w:val="002A66C3"/>
    <w:rsid w:val="002A6CA4"/>
    <w:rsid w:val="002A6F67"/>
    <w:rsid w:val="002A7AB2"/>
    <w:rsid w:val="002A7E2C"/>
    <w:rsid w:val="002B0D45"/>
    <w:rsid w:val="002B107D"/>
    <w:rsid w:val="002B22B4"/>
    <w:rsid w:val="002B2748"/>
    <w:rsid w:val="002B344D"/>
    <w:rsid w:val="002B3815"/>
    <w:rsid w:val="002B4C50"/>
    <w:rsid w:val="002B4DFF"/>
    <w:rsid w:val="002B4E45"/>
    <w:rsid w:val="002B5971"/>
    <w:rsid w:val="002B5994"/>
    <w:rsid w:val="002B605A"/>
    <w:rsid w:val="002B6D2A"/>
    <w:rsid w:val="002B79C9"/>
    <w:rsid w:val="002C0CBD"/>
    <w:rsid w:val="002C0D30"/>
    <w:rsid w:val="002C1D3F"/>
    <w:rsid w:val="002C2251"/>
    <w:rsid w:val="002C3120"/>
    <w:rsid w:val="002C3457"/>
    <w:rsid w:val="002C34FA"/>
    <w:rsid w:val="002C3A38"/>
    <w:rsid w:val="002C4275"/>
    <w:rsid w:val="002C4424"/>
    <w:rsid w:val="002C4C47"/>
    <w:rsid w:val="002C4FCC"/>
    <w:rsid w:val="002C6B5D"/>
    <w:rsid w:val="002C70AB"/>
    <w:rsid w:val="002C72BA"/>
    <w:rsid w:val="002C7E47"/>
    <w:rsid w:val="002D0218"/>
    <w:rsid w:val="002D1FE5"/>
    <w:rsid w:val="002D398C"/>
    <w:rsid w:val="002D3FA4"/>
    <w:rsid w:val="002D5B8D"/>
    <w:rsid w:val="002D5E8A"/>
    <w:rsid w:val="002D62D9"/>
    <w:rsid w:val="002D64B3"/>
    <w:rsid w:val="002D70CD"/>
    <w:rsid w:val="002D738D"/>
    <w:rsid w:val="002D797A"/>
    <w:rsid w:val="002E04DE"/>
    <w:rsid w:val="002E1322"/>
    <w:rsid w:val="002E1405"/>
    <w:rsid w:val="002E2975"/>
    <w:rsid w:val="002E29D6"/>
    <w:rsid w:val="002E2CAF"/>
    <w:rsid w:val="002E2D34"/>
    <w:rsid w:val="002E30F3"/>
    <w:rsid w:val="002E3AE4"/>
    <w:rsid w:val="002E3ED9"/>
    <w:rsid w:val="002E4081"/>
    <w:rsid w:val="002E5C98"/>
    <w:rsid w:val="002E60B5"/>
    <w:rsid w:val="002E6566"/>
    <w:rsid w:val="002E6734"/>
    <w:rsid w:val="002E692A"/>
    <w:rsid w:val="002E6CC4"/>
    <w:rsid w:val="002E70AA"/>
    <w:rsid w:val="002F0252"/>
    <w:rsid w:val="002F0E05"/>
    <w:rsid w:val="002F1206"/>
    <w:rsid w:val="002F1406"/>
    <w:rsid w:val="002F19A0"/>
    <w:rsid w:val="002F200C"/>
    <w:rsid w:val="002F334E"/>
    <w:rsid w:val="002F34A7"/>
    <w:rsid w:val="002F3DB2"/>
    <w:rsid w:val="002F3DD2"/>
    <w:rsid w:val="002F49A1"/>
    <w:rsid w:val="002F53C1"/>
    <w:rsid w:val="002F645B"/>
    <w:rsid w:val="002F6478"/>
    <w:rsid w:val="002F65FF"/>
    <w:rsid w:val="002F667F"/>
    <w:rsid w:val="002F745B"/>
    <w:rsid w:val="003006AC"/>
    <w:rsid w:val="00300BEC"/>
    <w:rsid w:val="00300CEC"/>
    <w:rsid w:val="00300FFA"/>
    <w:rsid w:val="003012F6"/>
    <w:rsid w:val="0030157B"/>
    <w:rsid w:val="00301CDF"/>
    <w:rsid w:val="003027B0"/>
    <w:rsid w:val="00302F91"/>
    <w:rsid w:val="00303E49"/>
    <w:rsid w:val="0030410C"/>
    <w:rsid w:val="003046FA"/>
    <w:rsid w:val="0030576C"/>
    <w:rsid w:val="00305AEF"/>
    <w:rsid w:val="00305F09"/>
    <w:rsid w:val="00305FC4"/>
    <w:rsid w:val="00310951"/>
    <w:rsid w:val="00310D29"/>
    <w:rsid w:val="00310D45"/>
    <w:rsid w:val="003125A8"/>
    <w:rsid w:val="00312989"/>
    <w:rsid w:val="003139EB"/>
    <w:rsid w:val="00313B8B"/>
    <w:rsid w:val="00313E7D"/>
    <w:rsid w:val="003141F0"/>
    <w:rsid w:val="00314401"/>
    <w:rsid w:val="00315E6C"/>
    <w:rsid w:val="003179B9"/>
    <w:rsid w:val="00320CD8"/>
    <w:rsid w:val="00321471"/>
    <w:rsid w:val="0032147C"/>
    <w:rsid w:val="00321935"/>
    <w:rsid w:val="00321ACB"/>
    <w:rsid w:val="00322E49"/>
    <w:rsid w:val="00323639"/>
    <w:rsid w:val="00323C4E"/>
    <w:rsid w:val="00324525"/>
    <w:rsid w:val="00324734"/>
    <w:rsid w:val="00324A0A"/>
    <w:rsid w:val="00324C24"/>
    <w:rsid w:val="003258F9"/>
    <w:rsid w:val="0032640E"/>
    <w:rsid w:val="003272BD"/>
    <w:rsid w:val="00327995"/>
    <w:rsid w:val="003300C1"/>
    <w:rsid w:val="0033026B"/>
    <w:rsid w:val="00331178"/>
    <w:rsid w:val="00331CA5"/>
    <w:rsid w:val="00331F04"/>
    <w:rsid w:val="0033207F"/>
    <w:rsid w:val="00332C94"/>
    <w:rsid w:val="00333632"/>
    <w:rsid w:val="00333966"/>
    <w:rsid w:val="00333AE1"/>
    <w:rsid w:val="0033434C"/>
    <w:rsid w:val="00334A46"/>
    <w:rsid w:val="00334D86"/>
    <w:rsid w:val="00335415"/>
    <w:rsid w:val="0033556C"/>
    <w:rsid w:val="003358A7"/>
    <w:rsid w:val="00335F31"/>
    <w:rsid w:val="00336052"/>
    <w:rsid w:val="00336121"/>
    <w:rsid w:val="003369B8"/>
    <w:rsid w:val="00336D17"/>
    <w:rsid w:val="003403F8"/>
    <w:rsid w:val="00341285"/>
    <w:rsid w:val="00341723"/>
    <w:rsid w:val="0034259C"/>
    <w:rsid w:val="0034261C"/>
    <w:rsid w:val="00342720"/>
    <w:rsid w:val="00342C10"/>
    <w:rsid w:val="00342E15"/>
    <w:rsid w:val="00343060"/>
    <w:rsid w:val="00343CB1"/>
    <w:rsid w:val="00345F0A"/>
    <w:rsid w:val="003460C9"/>
    <w:rsid w:val="003463CB"/>
    <w:rsid w:val="003475E0"/>
    <w:rsid w:val="00347B82"/>
    <w:rsid w:val="00347E90"/>
    <w:rsid w:val="00347EDE"/>
    <w:rsid w:val="00350270"/>
    <w:rsid w:val="0035045D"/>
    <w:rsid w:val="00350CB2"/>
    <w:rsid w:val="00352C79"/>
    <w:rsid w:val="00353034"/>
    <w:rsid w:val="00353FC5"/>
    <w:rsid w:val="00354F0C"/>
    <w:rsid w:val="00355395"/>
    <w:rsid w:val="0035572C"/>
    <w:rsid w:val="00355F27"/>
    <w:rsid w:val="00355F40"/>
    <w:rsid w:val="00356804"/>
    <w:rsid w:val="00356939"/>
    <w:rsid w:val="00356BA1"/>
    <w:rsid w:val="00357976"/>
    <w:rsid w:val="00360C9B"/>
    <w:rsid w:val="00361831"/>
    <w:rsid w:val="00361912"/>
    <w:rsid w:val="003627D4"/>
    <w:rsid w:val="00362D7B"/>
    <w:rsid w:val="0036350D"/>
    <w:rsid w:val="00363E3B"/>
    <w:rsid w:val="00363F85"/>
    <w:rsid w:val="00364199"/>
    <w:rsid w:val="0036490C"/>
    <w:rsid w:val="00365262"/>
    <w:rsid w:val="0036601E"/>
    <w:rsid w:val="00366114"/>
    <w:rsid w:val="00366B1A"/>
    <w:rsid w:val="00366B3D"/>
    <w:rsid w:val="00366BAB"/>
    <w:rsid w:val="00366F74"/>
    <w:rsid w:val="0036720C"/>
    <w:rsid w:val="003678AD"/>
    <w:rsid w:val="00370145"/>
    <w:rsid w:val="00370C41"/>
    <w:rsid w:val="00371275"/>
    <w:rsid w:val="00371334"/>
    <w:rsid w:val="00372358"/>
    <w:rsid w:val="003730A7"/>
    <w:rsid w:val="00374325"/>
    <w:rsid w:val="00374BA9"/>
    <w:rsid w:val="00375549"/>
    <w:rsid w:val="003762E3"/>
    <w:rsid w:val="00376943"/>
    <w:rsid w:val="003812BF"/>
    <w:rsid w:val="00381FFC"/>
    <w:rsid w:val="00382419"/>
    <w:rsid w:val="00382F20"/>
    <w:rsid w:val="00384EFA"/>
    <w:rsid w:val="00385030"/>
    <w:rsid w:val="00386A28"/>
    <w:rsid w:val="00386A92"/>
    <w:rsid w:val="00387354"/>
    <w:rsid w:val="003876A2"/>
    <w:rsid w:val="00387885"/>
    <w:rsid w:val="00387890"/>
    <w:rsid w:val="00387A8D"/>
    <w:rsid w:val="00387D84"/>
    <w:rsid w:val="00390024"/>
    <w:rsid w:val="00390733"/>
    <w:rsid w:val="00390D53"/>
    <w:rsid w:val="00390EB3"/>
    <w:rsid w:val="003918D9"/>
    <w:rsid w:val="003918F6"/>
    <w:rsid w:val="00391B54"/>
    <w:rsid w:val="00391E3D"/>
    <w:rsid w:val="00392121"/>
    <w:rsid w:val="00392DA4"/>
    <w:rsid w:val="003937A1"/>
    <w:rsid w:val="00393CE6"/>
    <w:rsid w:val="00393D30"/>
    <w:rsid w:val="00393D9C"/>
    <w:rsid w:val="003950F2"/>
    <w:rsid w:val="00395444"/>
    <w:rsid w:val="00395994"/>
    <w:rsid w:val="00396A26"/>
    <w:rsid w:val="00396F94"/>
    <w:rsid w:val="00397071"/>
    <w:rsid w:val="00397D10"/>
    <w:rsid w:val="003A277B"/>
    <w:rsid w:val="003A298B"/>
    <w:rsid w:val="003A3260"/>
    <w:rsid w:val="003A389F"/>
    <w:rsid w:val="003A4044"/>
    <w:rsid w:val="003A5033"/>
    <w:rsid w:val="003A592D"/>
    <w:rsid w:val="003A60E4"/>
    <w:rsid w:val="003A6969"/>
    <w:rsid w:val="003B00C8"/>
    <w:rsid w:val="003B0359"/>
    <w:rsid w:val="003B11A2"/>
    <w:rsid w:val="003B14EA"/>
    <w:rsid w:val="003B1743"/>
    <w:rsid w:val="003B1761"/>
    <w:rsid w:val="003B1AD8"/>
    <w:rsid w:val="003B2F80"/>
    <w:rsid w:val="003B34CA"/>
    <w:rsid w:val="003B3962"/>
    <w:rsid w:val="003B3964"/>
    <w:rsid w:val="003B50F4"/>
    <w:rsid w:val="003B5391"/>
    <w:rsid w:val="003B635B"/>
    <w:rsid w:val="003B6652"/>
    <w:rsid w:val="003B7591"/>
    <w:rsid w:val="003B7C0C"/>
    <w:rsid w:val="003B7D83"/>
    <w:rsid w:val="003C035F"/>
    <w:rsid w:val="003C0B2D"/>
    <w:rsid w:val="003C14DE"/>
    <w:rsid w:val="003C1BD1"/>
    <w:rsid w:val="003C1EFE"/>
    <w:rsid w:val="003C25E1"/>
    <w:rsid w:val="003C263C"/>
    <w:rsid w:val="003C2FAD"/>
    <w:rsid w:val="003C332D"/>
    <w:rsid w:val="003C3A4A"/>
    <w:rsid w:val="003C3D5D"/>
    <w:rsid w:val="003C4A5C"/>
    <w:rsid w:val="003C50FD"/>
    <w:rsid w:val="003C7578"/>
    <w:rsid w:val="003C75F7"/>
    <w:rsid w:val="003C79A5"/>
    <w:rsid w:val="003C7A44"/>
    <w:rsid w:val="003C7F00"/>
    <w:rsid w:val="003D0551"/>
    <w:rsid w:val="003D0BCB"/>
    <w:rsid w:val="003D12BD"/>
    <w:rsid w:val="003D195D"/>
    <w:rsid w:val="003D1982"/>
    <w:rsid w:val="003D1D6E"/>
    <w:rsid w:val="003D20C6"/>
    <w:rsid w:val="003D220C"/>
    <w:rsid w:val="003D2C03"/>
    <w:rsid w:val="003D4B4F"/>
    <w:rsid w:val="003D5476"/>
    <w:rsid w:val="003D5B99"/>
    <w:rsid w:val="003D64A6"/>
    <w:rsid w:val="003D64E6"/>
    <w:rsid w:val="003D70E9"/>
    <w:rsid w:val="003D73BA"/>
    <w:rsid w:val="003D7662"/>
    <w:rsid w:val="003E05A6"/>
    <w:rsid w:val="003E1349"/>
    <w:rsid w:val="003E15A7"/>
    <w:rsid w:val="003E1780"/>
    <w:rsid w:val="003E1C41"/>
    <w:rsid w:val="003E3028"/>
    <w:rsid w:val="003E30B6"/>
    <w:rsid w:val="003E31E0"/>
    <w:rsid w:val="003E3C34"/>
    <w:rsid w:val="003E47F4"/>
    <w:rsid w:val="003E48AF"/>
    <w:rsid w:val="003E490E"/>
    <w:rsid w:val="003E4DD1"/>
    <w:rsid w:val="003E5A82"/>
    <w:rsid w:val="003E5FDA"/>
    <w:rsid w:val="003E6B05"/>
    <w:rsid w:val="003E7354"/>
    <w:rsid w:val="003F06C0"/>
    <w:rsid w:val="003F0748"/>
    <w:rsid w:val="003F0BA8"/>
    <w:rsid w:val="003F165D"/>
    <w:rsid w:val="003F2183"/>
    <w:rsid w:val="003F23E1"/>
    <w:rsid w:val="003F3075"/>
    <w:rsid w:val="003F3F45"/>
    <w:rsid w:val="003F43CD"/>
    <w:rsid w:val="003F4C1B"/>
    <w:rsid w:val="003F4C25"/>
    <w:rsid w:val="003F5EB0"/>
    <w:rsid w:val="003F618B"/>
    <w:rsid w:val="003F624F"/>
    <w:rsid w:val="003F697C"/>
    <w:rsid w:val="003F6B52"/>
    <w:rsid w:val="003F70B5"/>
    <w:rsid w:val="003F7C69"/>
    <w:rsid w:val="00400129"/>
    <w:rsid w:val="00402085"/>
    <w:rsid w:val="00402566"/>
    <w:rsid w:val="004031B5"/>
    <w:rsid w:val="00403869"/>
    <w:rsid w:val="004039D8"/>
    <w:rsid w:val="00403D96"/>
    <w:rsid w:val="00404A79"/>
    <w:rsid w:val="00405125"/>
    <w:rsid w:val="00405746"/>
    <w:rsid w:val="00405999"/>
    <w:rsid w:val="00405AD8"/>
    <w:rsid w:val="00406D2F"/>
    <w:rsid w:val="00407039"/>
    <w:rsid w:val="00407112"/>
    <w:rsid w:val="004100EE"/>
    <w:rsid w:val="00410214"/>
    <w:rsid w:val="00410EC1"/>
    <w:rsid w:val="0041144E"/>
    <w:rsid w:val="004115E2"/>
    <w:rsid w:val="004116A6"/>
    <w:rsid w:val="00411A21"/>
    <w:rsid w:val="00411FBC"/>
    <w:rsid w:val="004123F8"/>
    <w:rsid w:val="00412665"/>
    <w:rsid w:val="004128D4"/>
    <w:rsid w:val="00412B3F"/>
    <w:rsid w:val="00412D6C"/>
    <w:rsid w:val="00413727"/>
    <w:rsid w:val="00414676"/>
    <w:rsid w:val="0041487E"/>
    <w:rsid w:val="00415EEA"/>
    <w:rsid w:val="004161F4"/>
    <w:rsid w:val="00416F6A"/>
    <w:rsid w:val="0041741F"/>
    <w:rsid w:val="004178CF"/>
    <w:rsid w:val="00417E3A"/>
    <w:rsid w:val="00420144"/>
    <w:rsid w:val="00420421"/>
    <w:rsid w:val="00420444"/>
    <w:rsid w:val="00420F61"/>
    <w:rsid w:val="004210A7"/>
    <w:rsid w:val="00421380"/>
    <w:rsid w:val="0042147D"/>
    <w:rsid w:val="00421597"/>
    <w:rsid w:val="004228B5"/>
    <w:rsid w:val="00424E84"/>
    <w:rsid w:val="00425058"/>
    <w:rsid w:val="00425610"/>
    <w:rsid w:val="00425FAA"/>
    <w:rsid w:val="00425FCF"/>
    <w:rsid w:val="004265BB"/>
    <w:rsid w:val="00426ECB"/>
    <w:rsid w:val="004276E1"/>
    <w:rsid w:val="00427E2B"/>
    <w:rsid w:val="00430615"/>
    <w:rsid w:val="0043116E"/>
    <w:rsid w:val="00431200"/>
    <w:rsid w:val="00431A12"/>
    <w:rsid w:val="00431CC9"/>
    <w:rsid w:val="00431F82"/>
    <w:rsid w:val="00432261"/>
    <w:rsid w:val="004326A7"/>
    <w:rsid w:val="00432E6B"/>
    <w:rsid w:val="00432F87"/>
    <w:rsid w:val="0043305C"/>
    <w:rsid w:val="004331E8"/>
    <w:rsid w:val="004339BA"/>
    <w:rsid w:val="00433B69"/>
    <w:rsid w:val="004346D8"/>
    <w:rsid w:val="00434DB0"/>
    <w:rsid w:val="004353D2"/>
    <w:rsid w:val="004355DE"/>
    <w:rsid w:val="00435656"/>
    <w:rsid w:val="004357CA"/>
    <w:rsid w:val="00435F76"/>
    <w:rsid w:val="004367BC"/>
    <w:rsid w:val="0043774D"/>
    <w:rsid w:val="00437ABD"/>
    <w:rsid w:val="0044017E"/>
    <w:rsid w:val="0044031B"/>
    <w:rsid w:val="00440639"/>
    <w:rsid w:val="00440894"/>
    <w:rsid w:val="00441207"/>
    <w:rsid w:val="00441333"/>
    <w:rsid w:val="00442777"/>
    <w:rsid w:val="00442C33"/>
    <w:rsid w:val="00443ABF"/>
    <w:rsid w:val="00443C63"/>
    <w:rsid w:val="0044404B"/>
    <w:rsid w:val="00444D4C"/>
    <w:rsid w:val="00444DCA"/>
    <w:rsid w:val="0044506E"/>
    <w:rsid w:val="00445141"/>
    <w:rsid w:val="00445919"/>
    <w:rsid w:val="00445C0D"/>
    <w:rsid w:val="00445C91"/>
    <w:rsid w:val="00446038"/>
    <w:rsid w:val="004477D0"/>
    <w:rsid w:val="0044796C"/>
    <w:rsid w:val="00447DED"/>
    <w:rsid w:val="00450B6A"/>
    <w:rsid w:val="004512A2"/>
    <w:rsid w:val="00451FC5"/>
    <w:rsid w:val="004522A7"/>
    <w:rsid w:val="004539EC"/>
    <w:rsid w:val="00453B01"/>
    <w:rsid w:val="00453B83"/>
    <w:rsid w:val="0045466E"/>
    <w:rsid w:val="00455041"/>
    <w:rsid w:val="004554CC"/>
    <w:rsid w:val="00456075"/>
    <w:rsid w:val="00456753"/>
    <w:rsid w:val="00456970"/>
    <w:rsid w:val="00456B49"/>
    <w:rsid w:val="00456EC8"/>
    <w:rsid w:val="0045790F"/>
    <w:rsid w:val="00457E32"/>
    <w:rsid w:val="004601A8"/>
    <w:rsid w:val="004604FB"/>
    <w:rsid w:val="00460D98"/>
    <w:rsid w:val="00461A0F"/>
    <w:rsid w:val="00461C29"/>
    <w:rsid w:val="004629C4"/>
    <w:rsid w:val="00462E87"/>
    <w:rsid w:val="00463167"/>
    <w:rsid w:val="00463169"/>
    <w:rsid w:val="00463C3D"/>
    <w:rsid w:val="004652CB"/>
    <w:rsid w:val="00466312"/>
    <w:rsid w:val="00467973"/>
    <w:rsid w:val="00467C3B"/>
    <w:rsid w:val="00467D99"/>
    <w:rsid w:val="00470C94"/>
    <w:rsid w:val="00470EB1"/>
    <w:rsid w:val="00471266"/>
    <w:rsid w:val="004715FB"/>
    <w:rsid w:val="004716A9"/>
    <w:rsid w:val="00472661"/>
    <w:rsid w:val="00472A2C"/>
    <w:rsid w:val="004744DD"/>
    <w:rsid w:val="00474AFB"/>
    <w:rsid w:val="00474F13"/>
    <w:rsid w:val="00474F70"/>
    <w:rsid w:val="00475527"/>
    <w:rsid w:val="004763CF"/>
    <w:rsid w:val="004771AE"/>
    <w:rsid w:val="004772B3"/>
    <w:rsid w:val="00480029"/>
    <w:rsid w:val="00480404"/>
    <w:rsid w:val="00480EAB"/>
    <w:rsid w:val="00481734"/>
    <w:rsid w:val="00481A49"/>
    <w:rsid w:val="0048211A"/>
    <w:rsid w:val="00482C34"/>
    <w:rsid w:val="00482DC6"/>
    <w:rsid w:val="0048365B"/>
    <w:rsid w:val="0048495D"/>
    <w:rsid w:val="0048530E"/>
    <w:rsid w:val="00485910"/>
    <w:rsid w:val="00485F4E"/>
    <w:rsid w:val="004868F9"/>
    <w:rsid w:val="0048706D"/>
    <w:rsid w:val="004872E1"/>
    <w:rsid w:val="0049053C"/>
    <w:rsid w:val="004908FB"/>
    <w:rsid w:val="00490D5C"/>
    <w:rsid w:val="00491675"/>
    <w:rsid w:val="00493720"/>
    <w:rsid w:val="004937C2"/>
    <w:rsid w:val="00493B7C"/>
    <w:rsid w:val="00493FDF"/>
    <w:rsid w:val="00494403"/>
    <w:rsid w:val="00494DA2"/>
    <w:rsid w:val="0049550D"/>
    <w:rsid w:val="0049550E"/>
    <w:rsid w:val="00495D5F"/>
    <w:rsid w:val="004966B3"/>
    <w:rsid w:val="00497036"/>
    <w:rsid w:val="00497532"/>
    <w:rsid w:val="00497978"/>
    <w:rsid w:val="004A06F2"/>
    <w:rsid w:val="004A0B7E"/>
    <w:rsid w:val="004A0BF4"/>
    <w:rsid w:val="004A11BC"/>
    <w:rsid w:val="004A1593"/>
    <w:rsid w:val="004A1814"/>
    <w:rsid w:val="004A208F"/>
    <w:rsid w:val="004A28DF"/>
    <w:rsid w:val="004A2C80"/>
    <w:rsid w:val="004A347C"/>
    <w:rsid w:val="004A355E"/>
    <w:rsid w:val="004A3B44"/>
    <w:rsid w:val="004A3C3C"/>
    <w:rsid w:val="004A50DD"/>
    <w:rsid w:val="004A5314"/>
    <w:rsid w:val="004A5A18"/>
    <w:rsid w:val="004A5C4F"/>
    <w:rsid w:val="004A7877"/>
    <w:rsid w:val="004A7878"/>
    <w:rsid w:val="004B04D6"/>
    <w:rsid w:val="004B11DB"/>
    <w:rsid w:val="004B1539"/>
    <w:rsid w:val="004B2F42"/>
    <w:rsid w:val="004B3741"/>
    <w:rsid w:val="004B3CA6"/>
    <w:rsid w:val="004B64E1"/>
    <w:rsid w:val="004B651E"/>
    <w:rsid w:val="004B6F0B"/>
    <w:rsid w:val="004B7FAD"/>
    <w:rsid w:val="004C0006"/>
    <w:rsid w:val="004C0368"/>
    <w:rsid w:val="004C0925"/>
    <w:rsid w:val="004C09DA"/>
    <w:rsid w:val="004C0F38"/>
    <w:rsid w:val="004C1708"/>
    <w:rsid w:val="004C2118"/>
    <w:rsid w:val="004C238E"/>
    <w:rsid w:val="004C2B1A"/>
    <w:rsid w:val="004C3161"/>
    <w:rsid w:val="004C3BE6"/>
    <w:rsid w:val="004C4463"/>
    <w:rsid w:val="004C4CDD"/>
    <w:rsid w:val="004C5D19"/>
    <w:rsid w:val="004C6233"/>
    <w:rsid w:val="004C6CB3"/>
    <w:rsid w:val="004C6EAF"/>
    <w:rsid w:val="004C78EA"/>
    <w:rsid w:val="004D05A6"/>
    <w:rsid w:val="004D1305"/>
    <w:rsid w:val="004D178C"/>
    <w:rsid w:val="004D23CB"/>
    <w:rsid w:val="004D2BDB"/>
    <w:rsid w:val="004D42BE"/>
    <w:rsid w:val="004D462B"/>
    <w:rsid w:val="004D496C"/>
    <w:rsid w:val="004D4E10"/>
    <w:rsid w:val="004D4E75"/>
    <w:rsid w:val="004D5015"/>
    <w:rsid w:val="004D50EE"/>
    <w:rsid w:val="004D61FC"/>
    <w:rsid w:val="004D6840"/>
    <w:rsid w:val="004D6CDD"/>
    <w:rsid w:val="004D7A94"/>
    <w:rsid w:val="004E010E"/>
    <w:rsid w:val="004E039A"/>
    <w:rsid w:val="004E0853"/>
    <w:rsid w:val="004E168D"/>
    <w:rsid w:val="004E1A32"/>
    <w:rsid w:val="004E2022"/>
    <w:rsid w:val="004E2776"/>
    <w:rsid w:val="004E2A61"/>
    <w:rsid w:val="004E2B64"/>
    <w:rsid w:val="004E4801"/>
    <w:rsid w:val="004E4999"/>
    <w:rsid w:val="004E4DF0"/>
    <w:rsid w:val="004E4E58"/>
    <w:rsid w:val="004E553E"/>
    <w:rsid w:val="004E5930"/>
    <w:rsid w:val="004E5F50"/>
    <w:rsid w:val="004E7132"/>
    <w:rsid w:val="004F0271"/>
    <w:rsid w:val="004F1174"/>
    <w:rsid w:val="004F1F43"/>
    <w:rsid w:val="004F3796"/>
    <w:rsid w:val="004F41A4"/>
    <w:rsid w:val="004F467D"/>
    <w:rsid w:val="004F4831"/>
    <w:rsid w:val="004F52E1"/>
    <w:rsid w:val="004F5394"/>
    <w:rsid w:val="004F6B67"/>
    <w:rsid w:val="004F6C48"/>
    <w:rsid w:val="004F6F70"/>
    <w:rsid w:val="004F7A90"/>
    <w:rsid w:val="0050108C"/>
    <w:rsid w:val="00501B5C"/>
    <w:rsid w:val="00501C0A"/>
    <w:rsid w:val="00503380"/>
    <w:rsid w:val="00503AEB"/>
    <w:rsid w:val="00503FBC"/>
    <w:rsid w:val="00504939"/>
    <w:rsid w:val="005049BB"/>
    <w:rsid w:val="00504F2C"/>
    <w:rsid w:val="005058E9"/>
    <w:rsid w:val="005059D2"/>
    <w:rsid w:val="005065A9"/>
    <w:rsid w:val="00506DDC"/>
    <w:rsid w:val="00506EAE"/>
    <w:rsid w:val="0050702C"/>
    <w:rsid w:val="0050713B"/>
    <w:rsid w:val="005071D5"/>
    <w:rsid w:val="00507B2C"/>
    <w:rsid w:val="00507B41"/>
    <w:rsid w:val="005100B7"/>
    <w:rsid w:val="00510854"/>
    <w:rsid w:val="00510AAA"/>
    <w:rsid w:val="00510AE0"/>
    <w:rsid w:val="00510BCE"/>
    <w:rsid w:val="00510F58"/>
    <w:rsid w:val="00511C2E"/>
    <w:rsid w:val="00511D1D"/>
    <w:rsid w:val="00512481"/>
    <w:rsid w:val="00512578"/>
    <w:rsid w:val="00513E0E"/>
    <w:rsid w:val="005140EC"/>
    <w:rsid w:val="005141A1"/>
    <w:rsid w:val="00514342"/>
    <w:rsid w:val="00514395"/>
    <w:rsid w:val="00514C4C"/>
    <w:rsid w:val="005151C8"/>
    <w:rsid w:val="0051562C"/>
    <w:rsid w:val="00515883"/>
    <w:rsid w:val="00515990"/>
    <w:rsid w:val="00515C0E"/>
    <w:rsid w:val="005162A6"/>
    <w:rsid w:val="00516604"/>
    <w:rsid w:val="00516EF6"/>
    <w:rsid w:val="00517D15"/>
    <w:rsid w:val="00521785"/>
    <w:rsid w:val="00521B90"/>
    <w:rsid w:val="00521D46"/>
    <w:rsid w:val="00522A8A"/>
    <w:rsid w:val="0052379A"/>
    <w:rsid w:val="00523986"/>
    <w:rsid w:val="00527D37"/>
    <w:rsid w:val="005300A4"/>
    <w:rsid w:val="00530577"/>
    <w:rsid w:val="0053076B"/>
    <w:rsid w:val="00531352"/>
    <w:rsid w:val="00531DAD"/>
    <w:rsid w:val="00531F9B"/>
    <w:rsid w:val="005321E6"/>
    <w:rsid w:val="0053232E"/>
    <w:rsid w:val="005324FF"/>
    <w:rsid w:val="00533DF5"/>
    <w:rsid w:val="00533F89"/>
    <w:rsid w:val="0053474A"/>
    <w:rsid w:val="00535B28"/>
    <w:rsid w:val="005360EB"/>
    <w:rsid w:val="0053638B"/>
    <w:rsid w:val="005367EC"/>
    <w:rsid w:val="0053743F"/>
    <w:rsid w:val="00537899"/>
    <w:rsid w:val="005404D8"/>
    <w:rsid w:val="0054136C"/>
    <w:rsid w:val="00541377"/>
    <w:rsid w:val="005420FC"/>
    <w:rsid w:val="00543697"/>
    <w:rsid w:val="00544990"/>
    <w:rsid w:val="00544C39"/>
    <w:rsid w:val="00544E54"/>
    <w:rsid w:val="005458CB"/>
    <w:rsid w:val="005458FA"/>
    <w:rsid w:val="00545A5A"/>
    <w:rsid w:val="00545F0F"/>
    <w:rsid w:val="00546753"/>
    <w:rsid w:val="00546E9F"/>
    <w:rsid w:val="00547133"/>
    <w:rsid w:val="00547145"/>
    <w:rsid w:val="00547611"/>
    <w:rsid w:val="005505BD"/>
    <w:rsid w:val="0055147F"/>
    <w:rsid w:val="00551FA4"/>
    <w:rsid w:val="0055281D"/>
    <w:rsid w:val="00552921"/>
    <w:rsid w:val="00552D7F"/>
    <w:rsid w:val="0055412F"/>
    <w:rsid w:val="0055414D"/>
    <w:rsid w:val="00554686"/>
    <w:rsid w:val="00554E62"/>
    <w:rsid w:val="005557A0"/>
    <w:rsid w:val="0055661B"/>
    <w:rsid w:val="00557017"/>
    <w:rsid w:val="005572F3"/>
    <w:rsid w:val="005579AF"/>
    <w:rsid w:val="00557E0A"/>
    <w:rsid w:val="00557EDD"/>
    <w:rsid w:val="005640E4"/>
    <w:rsid w:val="005640F2"/>
    <w:rsid w:val="005648F4"/>
    <w:rsid w:val="005649E6"/>
    <w:rsid w:val="00564A31"/>
    <w:rsid w:val="00564C08"/>
    <w:rsid w:val="00564D3C"/>
    <w:rsid w:val="00564FF7"/>
    <w:rsid w:val="0056693A"/>
    <w:rsid w:val="00567822"/>
    <w:rsid w:val="005678B0"/>
    <w:rsid w:val="0057005A"/>
    <w:rsid w:val="0057094B"/>
    <w:rsid w:val="00571BD3"/>
    <w:rsid w:val="005724B6"/>
    <w:rsid w:val="00573048"/>
    <w:rsid w:val="00573281"/>
    <w:rsid w:val="0057399A"/>
    <w:rsid w:val="00573DE8"/>
    <w:rsid w:val="0057449B"/>
    <w:rsid w:val="00574507"/>
    <w:rsid w:val="00574926"/>
    <w:rsid w:val="00574D21"/>
    <w:rsid w:val="00574FDB"/>
    <w:rsid w:val="005755C2"/>
    <w:rsid w:val="005756E7"/>
    <w:rsid w:val="0057586A"/>
    <w:rsid w:val="00575D65"/>
    <w:rsid w:val="00575DAB"/>
    <w:rsid w:val="005763B3"/>
    <w:rsid w:val="00577370"/>
    <w:rsid w:val="0057744F"/>
    <w:rsid w:val="00577CF1"/>
    <w:rsid w:val="00577E7F"/>
    <w:rsid w:val="005800FB"/>
    <w:rsid w:val="00580BB5"/>
    <w:rsid w:val="00581422"/>
    <w:rsid w:val="00581650"/>
    <w:rsid w:val="00581AB1"/>
    <w:rsid w:val="005821BC"/>
    <w:rsid w:val="0058298A"/>
    <w:rsid w:val="00582A7A"/>
    <w:rsid w:val="00584235"/>
    <w:rsid w:val="005843A4"/>
    <w:rsid w:val="0058470F"/>
    <w:rsid w:val="00584A2C"/>
    <w:rsid w:val="00584DBB"/>
    <w:rsid w:val="00584DEC"/>
    <w:rsid w:val="00586586"/>
    <w:rsid w:val="00587BAD"/>
    <w:rsid w:val="00590100"/>
    <w:rsid w:val="00590D4E"/>
    <w:rsid w:val="00591F75"/>
    <w:rsid w:val="005922C3"/>
    <w:rsid w:val="0059414A"/>
    <w:rsid w:val="00594B96"/>
    <w:rsid w:val="00594C94"/>
    <w:rsid w:val="005954EE"/>
    <w:rsid w:val="005956ED"/>
    <w:rsid w:val="00595C57"/>
    <w:rsid w:val="00595C6E"/>
    <w:rsid w:val="00595F07"/>
    <w:rsid w:val="00595F8B"/>
    <w:rsid w:val="0059662C"/>
    <w:rsid w:val="0059682D"/>
    <w:rsid w:val="00597201"/>
    <w:rsid w:val="005A01D6"/>
    <w:rsid w:val="005A0506"/>
    <w:rsid w:val="005A064E"/>
    <w:rsid w:val="005A1AA8"/>
    <w:rsid w:val="005A1AFE"/>
    <w:rsid w:val="005A1C12"/>
    <w:rsid w:val="005A37BD"/>
    <w:rsid w:val="005A38AB"/>
    <w:rsid w:val="005A3BEA"/>
    <w:rsid w:val="005A3E5A"/>
    <w:rsid w:val="005A4006"/>
    <w:rsid w:val="005A4229"/>
    <w:rsid w:val="005A49D3"/>
    <w:rsid w:val="005A4F41"/>
    <w:rsid w:val="005A5946"/>
    <w:rsid w:val="005A5B0B"/>
    <w:rsid w:val="005A628C"/>
    <w:rsid w:val="005A6632"/>
    <w:rsid w:val="005A68C8"/>
    <w:rsid w:val="005A6A35"/>
    <w:rsid w:val="005A6B49"/>
    <w:rsid w:val="005A731E"/>
    <w:rsid w:val="005A75A2"/>
    <w:rsid w:val="005B0404"/>
    <w:rsid w:val="005B0988"/>
    <w:rsid w:val="005B0A17"/>
    <w:rsid w:val="005B0B2A"/>
    <w:rsid w:val="005B0E7B"/>
    <w:rsid w:val="005B1639"/>
    <w:rsid w:val="005B1EDA"/>
    <w:rsid w:val="005B2A64"/>
    <w:rsid w:val="005B4831"/>
    <w:rsid w:val="005B54F2"/>
    <w:rsid w:val="005B5D8B"/>
    <w:rsid w:val="005B62A7"/>
    <w:rsid w:val="005B6D68"/>
    <w:rsid w:val="005B71F8"/>
    <w:rsid w:val="005B7B85"/>
    <w:rsid w:val="005B7CA9"/>
    <w:rsid w:val="005C14F5"/>
    <w:rsid w:val="005C3157"/>
    <w:rsid w:val="005C3368"/>
    <w:rsid w:val="005C385A"/>
    <w:rsid w:val="005C40B9"/>
    <w:rsid w:val="005C4904"/>
    <w:rsid w:val="005C4B8F"/>
    <w:rsid w:val="005C4C5C"/>
    <w:rsid w:val="005C4E79"/>
    <w:rsid w:val="005C54B9"/>
    <w:rsid w:val="005C6021"/>
    <w:rsid w:val="005C648A"/>
    <w:rsid w:val="005C7132"/>
    <w:rsid w:val="005C7A00"/>
    <w:rsid w:val="005C7CE5"/>
    <w:rsid w:val="005D0040"/>
    <w:rsid w:val="005D02D2"/>
    <w:rsid w:val="005D04DB"/>
    <w:rsid w:val="005D064F"/>
    <w:rsid w:val="005D085A"/>
    <w:rsid w:val="005D0A64"/>
    <w:rsid w:val="005D0E91"/>
    <w:rsid w:val="005D1269"/>
    <w:rsid w:val="005D1D0F"/>
    <w:rsid w:val="005D1E4A"/>
    <w:rsid w:val="005D2016"/>
    <w:rsid w:val="005D2A20"/>
    <w:rsid w:val="005D2F96"/>
    <w:rsid w:val="005D3116"/>
    <w:rsid w:val="005D3450"/>
    <w:rsid w:val="005D3FD8"/>
    <w:rsid w:val="005D4A9D"/>
    <w:rsid w:val="005D4FDA"/>
    <w:rsid w:val="005D53A6"/>
    <w:rsid w:val="005D624F"/>
    <w:rsid w:val="005D6250"/>
    <w:rsid w:val="005D739D"/>
    <w:rsid w:val="005E004D"/>
    <w:rsid w:val="005E0AC5"/>
    <w:rsid w:val="005E14C8"/>
    <w:rsid w:val="005E15AB"/>
    <w:rsid w:val="005E2294"/>
    <w:rsid w:val="005E36A3"/>
    <w:rsid w:val="005E3982"/>
    <w:rsid w:val="005E487B"/>
    <w:rsid w:val="005E4ACA"/>
    <w:rsid w:val="005E4C32"/>
    <w:rsid w:val="005E51F1"/>
    <w:rsid w:val="005E54FA"/>
    <w:rsid w:val="005E5AFB"/>
    <w:rsid w:val="005E5D40"/>
    <w:rsid w:val="005E645B"/>
    <w:rsid w:val="005E654F"/>
    <w:rsid w:val="005E6DD4"/>
    <w:rsid w:val="005E6F7A"/>
    <w:rsid w:val="005E70CC"/>
    <w:rsid w:val="005F062E"/>
    <w:rsid w:val="005F06BB"/>
    <w:rsid w:val="005F149C"/>
    <w:rsid w:val="005F19B9"/>
    <w:rsid w:val="005F1BAF"/>
    <w:rsid w:val="005F1BF1"/>
    <w:rsid w:val="005F2FB2"/>
    <w:rsid w:val="005F3155"/>
    <w:rsid w:val="005F32D9"/>
    <w:rsid w:val="005F4841"/>
    <w:rsid w:val="005F5582"/>
    <w:rsid w:val="005F5699"/>
    <w:rsid w:val="005F6333"/>
    <w:rsid w:val="005F6A29"/>
    <w:rsid w:val="005F6B80"/>
    <w:rsid w:val="005F792B"/>
    <w:rsid w:val="00600946"/>
    <w:rsid w:val="0060151A"/>
    <w:rsid w:val="006018E3"/>
    <w:rsid w:val="00601B32"/>
    <w:rsid w:val="00601F27"/>
    <w:rsid w:val="0060226A"/>
    <w:rsid w:val="00603C0A"/>
    <w:rsid w:val="0060429B"/>
    <w:rsid w:val="006045B1"/>
    <w:rsid w:val="0060466C"/>
    <w:rsid w:val="00605081"/>
    <w:rsid w:val="00606120"/>
    <w:rsid w:val="00606470"/>
    <w:rsid w:val="006074C8"/>
    <w:rsid w:val="00607669"/>
    <w:rsid w:val="00607C3C"/>
    <w:rsid w:val="00607E4C"/>
    <w:rsid w:val="006108B0"/>
    <w:rsid w:val="0061149A"/>
    <w:rsid w:val="0061156A"/>
    <w:rsid w:val="00611DEE"/>
    <w:rsid w:val="006126DB"/>
    <w:rsid w:val="006129B6"/>
    <w:rsid w:val="00612D1F"/>
    <w:rsid w:val="006137E8"/>
    <w:rsid w:val="006138CA"/>
    <w:rsid w:val="00613D38"/>
    <w:rsid w:val="00614463"/>
    <w:rsid w:val="00614E55"/>
    <w:rsid w:val="0061530C"/>
    <w:rsid w:val="0061533D"/>
    <w:rsid w:val="006154D6"/>
    <w:rsid w:val="00615778"/>
    <w:rsid w:val="00615CF8"/>
    <w:rsid w:val="006160C3"/>
    <w:rsid w:val="006162B3"/>
    <w:rsid w:val="0061657A"/>
    <w:rsid w:val="00616973"/>
    <w:rsid w:val="006173BE"/>
    <w:rsid w:val="00617843"/>
    <w:rsid w:val="00617DD1"/>
    <w:rsid w:val="00620D54"/>
    <w:rsid w:val="00621B62"/>
    <w:rsid w:val="00621FEE"/>
    <w:rsid w:val="006229ED"/>
    <w:rsid w:val="0062363F"/>
    <w:rsid w:val="00623961"/>
    <w:rsid w:val="006248AD"/>
    <w:rsid w:val="00624B85"/>
    <w:rsid w:val="00624C19"/>
    <w:rsid w:val="00625106"/>
    <w:rsid w:val="00625223"/>
    <w:rsid w:val="0062529F"/>
    <w:rsid w:val="006256A1"/>
    <w:rsid w:val="00625BBF"/>
    <w:rsid w:val="006272A7"/>
    <w:rsid w:val="006279C3"/>
    <w:rsid w:val="006307C9"/>
    <w:rsid w:val="0063166B"/>
    <w:rsid w:val="0063308A"/>
    <w:rsid w:val="00633765"/>
    <w:rsid w:val="00633861"/>
    <w:rsid w:val="006339D5"/>
    <w:rsid w:val="00633AC3"/>
    <w:rsid w:val="0063406C"/>
    <w:rsid w:val="006346DF"/>
    <w:rsid w:val="006363B9"/>
    <w:rsid w:val="006378F1"/>
    <w:rsid w:val="00637AC6"/>
    <w:rsid w:val="00637CF2"/>
    <w:rsid w:val="00640594"/>
    <w:rsid w:val="006419D8"/>
    <w:rsid w:val="00641A49"/>
    <w:rsid w:val="006422C9"/>
    <w:rsid w:val="00643EF8"/>
    <w:rsid w:val="006440F1"/>
    <w:rsid w:val="006447E1"/>
    <w:rsid w:val="00644F65"/>
    <w:rsid w:val="00645458"/>
    <w:rsid w:val="006454F5"/>
    <w:rsid w:val="00645AA9"/>
    <w:rsid w:val="00646A45"/>
    <w:rsid w:val="00647689"/>
    <w:rsid w:val="006477BB"/>
    <w:rsid w:val="00650D76"/>
    <w:rsid w:val="00651013"/>
    <w:rsid w:val="00651866"/>
    <w:rsid w:val="006518AB"/>
    <w:rsid w:val="00651E15"/>
    <w:rsid w:val="00652B9D"/>
    <w:rsid w:val="00652C4D"/>
    <w:rsid w:val="00652D3B"/>
    <w:rsid w:val="006531AD"/>
    <w:rsid w:val="0065488D"/>
    <w:rsid w:val="006560D1"/>
    <w:rsid w:val="00656E32"/>
    <w:rsid w:val="0065706E"/>
    <w:rsid w:val="006570FA"/>
    <w:rsid w:val="006578B2"/>
    <w:rsid w:val="00657953"/>
    <w:rsid w:val="0065795E"/>
    <w:rsid w:val="00657E8E"/>
    <w:rsid w:val="006601D5"/>
    <w:rsid w:val="00661ECF"/>
    <w:rsid w:val="0066371C"/>
    <w:rsid w:val="00664774"/>
    <w:rsid w:val="0066501A"/>
    <w:rsid w:val="00665152"/>
    <w:rsid w:val="006655A8"/>
    <w:rsid w:val="0066567B"/>
    <w:rsid w:val="00665914"/>
    <w:rsid w:val="006669F1"/>
    <w:rsid w:val="00666DD2"/>
    <w:rsid w:val="00670FAD"/>
    <w:rsid w:val="00671666"/>
    <w:rsid w:val="006724AB"/>
    <w:rsid w:val="00673C27"/>
    <w:rsid w:val="00673E11"/>
    <w:rsid w:val="006742DD"/>
    <w:rsid w:val="00675403"/>
    <w:rsid w:val="00675FF2"/>
    <w:rsid w:val="0067721B"/>
    <w:rsid w:val="0067728A"/>
    <w:rsid w:val="00677873"/>
    <w:rsid w:val="00680034"/>
    <w:rsid w:val="006803C8"/>
    <w:rsid w:val="00680504"/>
    <w:rsid w:val="00680D6B"/>
    <w:rsid w:val="0068163C"/>
    <w:rsid w:val="00681A35"/>
    <w:rsid w:val="00681B66"/>
    <w:rsid w:val="00681BAF"/>
    <w:rsid w:val="006822A9"/>
    <w:rsid w:val="00683B65"/>
    <w:rsid w:val="0068457A"/>
    <w:rsid w:val="006845FA"/>
    <w:rsid w:val="00684A04"/>
    <w:rsid w:val="00684CE1"/>
    <w:rsid w:val="0068542C"/>
    <w:rsid w:val="006858FC"/>
    <w:rsid w:val="006860E5"/>
    <w:rsid w:val="0068719D"/>
    <w:rsid w:val="0068729D"/>
    <w:rsid w:val="00690139"/>
    <w:rsid w:val="00690A1D"/>
    <w:rsid w:val="00690A76"/>
    <w:rsid w:val="00690B54"/>
    <w:rsid w:val="00691AB1"/>
    <w:rsid w:val="006927BC"/>
    <w:rsid w:val="0069465F"/>
    <w:rsid w:val="00694E6F"/>
    <w:rsid w:val="00694FD3"/>
    <w:rsid w:val="006950E1"/>
    <w:rsid w:val="0069600C"/>
    <w:rsid w:val="006969A6"/>
    <w:rsid w:val="00697564"/>
    <w:rsid w:val="00697A07"/>
    <w:rsid w:val="006A0117"/>
    <w:rsid w:val="006A087F"/>
    <w:rsid w:val="006A09C2"/>
    <w:rsid w:val="006A1786"/>
    <w:rsid w:val="006A2013"/>
    <w:rsid w:val="006A21D6"/>
    <w:rsid w:val="006A28FD"/>
    <w:rsid w:val="006A2CC2"/>
    <w:rsid w:val="006A2DF7"/>
    <w:rsid w:val="006A42BD"/>
    <w:rsid w:val="006A477B"/>
    <w:rsid w:val="006A4DC8"/>
    <w:rsid w:val="006A5A4D"/>
    <w:rsid w:val="006A7D13"/>
    <w:rsid w:val="006A7F16"/>
    <w:rsid w:val="006B05A4"/>
    <w:rsid w:val="006B1754"/>
    <w:rsid w:val="006B1994"/>
    <w:rsid w:val="006B1B0F"/>
    <w:rsid w:val="006B2BD3"/>
    <w:rsid w:val="006B3513"/>
    <w:rsid w:val="006B371F"/>
    <w:rsid w:val="006B3A54"/>
    <w:rsid w:val="006B3C73"/>
    <w:rsid w:val="006B4057"/>
    <w:rsid w:val="006B4970"/>
    <w:rsid w:val="006B4E7F"/>
    <w:rsid w:val="006B5188"/>
    <w:rsid w:val="006B5B02"/>
    <w:rsid w:val="006B5DE5"/>
    <w:rsid w:val="006C1BE5"/>
    <w:rsid w:val="006C493A"/>
    <w:rsid w:val="006C532F"/>
    <w:rsid w:val="006C5D5B"/>
    <w:rsid w:val="006C5FFD"/>
    <w:rsid w:val="006C697B"/>
    <w:rsid w:val="006C6FB7"/>
    <w:rsid w:val="006C6FE6"/>
    <w:rsid w:val="006C737D"/>
    <w:rsid w:val="006C772B"/>
    <w:rsid w:val="006C7866"/>
    <w:rsid w:val="006C7B8A"/>
    <w:rsid w:val="006C7F83"/>
    <w:rsid w:val="006D0102"/>
    <w:rsid w:val="006D0850"/>
    <w:rsid w:val="006D158A"/>
    <w:rsid w:val="006D1EBF"/>
    <w:rsid w:val="006D28F7"/>
    <w:rsid w:val="006D2D81"/>
    <w:rsid w:val="006D36F3"/>
    <w:rsid w:val="006D41B8"/>
    <w:rsid w:val="006D4BAC"/>
    <w:rsid w:val="006D5925"/>
    <w:rsid w:val="006D5AA5"/>
    <w:rsid w:val="006D6791"/>
    <w:rsid w:val="006D6A54"/>
    <w:rsid w:val="006D6C5D"/>
    <w:rsid w:val="006D75B5"/>
    <w:rsid w:val="006D7666"/>
    <w:rsid w:val="006D7A68"/>
    <w:rsid w:val="006D7F91"/>
    <w:rsid w:val="006E04AB"/>
    <w:rsid w:val="006E0E42"/>
    <w:rsid w:val="006E362D"/>
    <w:rsid w:val="006E3F7D"/>
    <w:rsid w:val="006E4783"/>
    <w:rsid w:val="006E51DB"/>
    <w:rsid w:val="006F00D2"/>
    <w:rsid w:val="006F02A2"/>
    <w:rsid w:val="006F1540"/>
    <w:rsid w:val="006F1771"/>
    <w:rsid w:val="006F2231"/>
    <w:rsid w:val="006F2A9F"/>
    <w:rsid w:val="006F4882"/>
    <w:rsid w:val="006F49B6"/>
    <w:rsid w:val="006F5BA5"/>
    <w:rsid w:val="006F6264"/>
    <w:rsid w:val="006F66BB"/>
    <w:rsid w:val="006F7018"/>
    <w:rsid w:val="006F778B"/>
    <w:rsid w:val="0070091C"/>
    <w:rsid w:val="00701A85"/>
    <w:rsid w:val="00702838"/>
    <w:rsid w:val="00702C3A"/>
    <w:rsid w:val="00702CFC"/>
    <w:rsid w:val="00702E85"/>
    <w:rsid w:val="00703565"/>
    <w:rsid w:val="00703868"/>
    <w:rsid w:val="0070459D"/>
    <w:rsid w:val="00704B58"/>
    <w:rsid w:val="00704C91"/>
    <w:rsid w:val="00705E86"/>
    <w:rsid w:val="00705FD8"/>
    <w:rsid w:val="0070699E"/>
    <w:rsid w:val="00706B00"/>
    <w:rsid w:val="007076BF"/>
    <w:rsid w:val="007107B8"/>
    <w:rsid w:val="00711020"/>
    <w:rsid w:val="007116B0"/>
    <w:rsid w:val="00711D73"/>
    <w:rsid w:val="007129E3"/>
    <w:rsid w:val="00713C61"/>
    <w:rsid w:val="00713EC6"/>
    <w:rsid w:val="00714043"/>
    <w:rsid w:val="007154B8"/>
    <w:rsid w:val="00715AC1"/>
    <w:rsid w:val="00716244"/>
    <w:rsid w:val="00716D16"/>
    <w:rsid w:val="0072049E"/>
    <w:rsid w:val="00720507"/>
    <w:rsid w:val="00720531"/>
    <w:rsid w:val="00720D1A"/>
    <w:rsid w:val="007214DE"/>
    <w:rsid w:val="0072218B"/>
    <w:rsid w:val="007224C3"/>
    <w:rsid w:val="00722A21"/>
    <w:rsid w:val="00722A3C"/>
    <w:rsid w:val="00722A69"/>
    <w:rsid w:val="00723D30"/>
    <w:rsid w:val="007240F4"/>
    <w:rsid w:val="007241CA"/>
    <w:rsid w:val="00724E75"/>
    <w:rsid w:val="00725428"/>
    <w:rsid w:val="007260DD"/>
    <w:rsid w:val="00726D60"/>
    <w:rsid w:val="00726DD6"/>
    <w:rsid w:val="007279C4"/>
    <w:rsid w:val="00727A87"/>
    <w:rsid w:val="00727F7E"/>
    <w:rsid w:val="0073092C"/>
    <w:rsid w:val="00730E80"/>
    <w:rsid w:val="007310FD"/>
    <w:rsid w:val="007311A5"/>
    <w:rsid w:val="007324A6"/>
    <w:rsid w:val="00732B24"/>
    <w:rsid w:val="0073308D"/>
    <w:rsid w:val="0073308E"/>
    <w:rsid w:val="00733382"/>
    <w:rsid w:val="00733AC2"/>
    <w:rsid w:val="00733B28"/>
    <w:rsid w:val="007354FC"/>
    <w:rsid w:val="0073612E"/>
    <w:rsid w:val="007361AF"/>
    <w:rsid w:val="007364C7"/>
    <w:rsid w:val="00736738"/>
    <w:rsid w:val="0073716A"/>
    <w:rsid w:val="00740C5D"/>
    <w:rsid w:val="007412B2"/>
    <w:rsid w:val="00741509"/>
    <w:rsid w:val="00741A78"/>
    <w:rsid w:val="007421A1"/>
    <w:rsid w:val="007426BB"/>
    <w:rsid w:val="0074338D"/>
    <w:rsid w:val="00743E61"/>
    <w:rsid w:val="007445DB"/>
    <w:rsid w:val="00744D01"/>
    <w:rsid w:val="007453B9"/>
    <w:rsid w:val="007457E0"/>
    <w:rsid w:val="00745877"/>
    <w:rsid w:val="0074596E"/>
    <w:rsid w:val="007463AC"/>
    <w:rsid w:val="00747607"/>
    <w:rsid w:val="0074782C"/>
    <w:rsid w:val="00747976"/>
    <w:rsid w:val="00747CA5"/>
    <w:rsid w:val="00747F18"/>
    <w:rsid w:val="00750339"/>
    <w:rsid w:val="00750BB2"/>
    <w:rsid w:val="007512B6"/>
    <w:rsid w:val="007516A5"/>
    <w:rsid w:val="00752518"/>
    <w:rsid w:val="00752A9A"/>
    <w:rsid w:val="0075348E"/>
    <w:rsid w:val="007549B5"/>
    <w:rsid w:val="00755600"/>
    <w:rsid w:val="00755BE2"/>
    <w:rsid w:val="00755F7E"/>
    <w:rsid w:val="0075639E"/>
    <w:rsid w:val="00756F92"/>
    <w:rsid w:val="00757460"/>
    <w:rsid w:val="00757741"/>
    <w:rsid w:val="00757DB4"/>
    <w:rsid w:val="00757F21"/>
    <w:rsid w:val="00760621"/>
    <w:rsid w:val="00761143"/>
    <w:rsid w:val="00761332"/>
    <w:rsid w:val="0076176E"/>
    <w:rsid w:val="00761800"/>
    <w:rsid w:val="007619A2"/>
    <w:rsid w:val="007619CA"/>
    <w:rsid w:val="00761EF2"/>
    <w:rsid w:val="00761EFC"/>
    <w:rsid w:val="007627E0"/>
    <w:rsid w:val="00762FF7"/>
    <w:rsid w:val="00763D55"/>
    <w:rsid w:val="00763DC4"/>
    <w:rsid w:val="00764877"/>
    <w:rsid w:val="00764FE6"/>
    <w:rsid w:val="0076571A"/>
    <w:rsid w:val="007657D6"/>
    <w:rsid w:val="0077030F"/>
    <w:rsid w:val="00770D73"/>
    <w:rsid w:val="00770F26"/>
    <w:rsid w:val="007712D6"/>
    <w:rsid w:val="0077169F"/>
    <w:rsid w:val="007717F6"/>
    <w:rsid w:val="00772040"/>
    <w:rsid w:val="007725F3"/>
    <w:rsid w:val="007729ED"/>
    <w:rsid w:val="0077437C"/>
    <w:rsid w:val="00774AC3"/>
    <w:rsid w:val="0077544D"/>
    <w:rsid w:val="007756B8"/>
    <w:rsid w:val="00775D0D"/>
    <w:rsid w:val="00776752"/>
    <w:rsid w:val="00776E41"/>
    <w:rsid w:val="00776F77"/>
    <w:rsid w:val="00777F5E"/>
    <w:rsid w:val="0078057C"/>
    <w:rsid w:val="00781F67"/>
    <w:rsid w:val="00782F44"/>
    <w:rsid w:val="007831BF"/>
    <w:rsid w:val="00783C14"/>
    <w:rsid w:val="00783EAC"/>
    <w:rsid w:val="007845A5"/>
    <w:rsid w:val="00784D91"/>
    <w:rsid w:val="00784E3E"/>
    <w:rsid w:val="00786F2B"/>
    <w:rsid w:val="0079038E"/>
    <w:rsid w:val="00790BA6"/>
    <w:rsid w:val="007912B8"/>
    <w:rsid w:val="00791C7B"/>
    <w:rsid w:val="0079205C"/>
    <w:rsid w:val="007930DC"/>
    <w:rsid w:val="007935D1"/>
    <w:rsid w:val="00793EA9"/>
    <w:rsid w:val="00793F03"/>
    <w:rsid w:val="00794993"/>
    <w:rsid w:val="007953A0"/>
    <w:rsid w:val="00795CC6"/>
    <w:rsid w:val="00795EFF"/>
    <w:rsid w:val="007971A8"/>
    <w:rsid w:val="0079731C"/>
    <w:rsid w:val="007A11F6"/>
    <w:rsid w:val="007A19C2"/>
    <w:rsid w:val="007A1D47"/>
    <w:rsid w:val="007A2456"/>
    <w:rsid w:val="007A2884"/>
    <w:rsid w:val="007A2BB9"/>
    <w:rsid w:val="007A2ED3"/>
    <w:rsid w:val="007A32D7"/>
    <w:rsid w:val="007A349D"/>
    <w:rsid w:val="007A3770"/>
    <w:rsid w:val="007A3B33"/>
    <w:rsid w:val="007A4B2F"/>
    <w:rsid w:val="007A5380"/>
    <w:rsid w:val="007A61E3"/>
    <w:rsid w:val="007A6A8B"/>
    <w:rsid w:val="007A7BED"/>
    <w:rsid w:val="007A7E7F"/>
    <w:rsid w:val="007B084D"/>
    <w:rsid w:val="007B1C87"/>
    <w:rsid w:val="007B2D1B"/>
    <w:rsid w:val="007B2EFC"/>
    <w:rsid w:val="007B2F49"/>
    <w:rsid w:val="007B2F78"/>
    <w:rsid w:val="007B3797"/>
    <w:rsid w:val="007B5339"/>
    <w:rsid w:val="007B543A"/>
    <w:rsid w:val="007B5758"/>
    <w:rsid w:val="007B60DC"/>
    <w:rsid w:val="007B6631"/>
    <w:rsid w:val="007B71A7"/>
    <w:rsid w:val="007B7600"/>
    <w:rsid w:val="007B7B37"/>
    <w:rsid w:val="007C00CB"/>
    <w:rsid w:val="007C01EE"/>
    <w:rsid w:val="007C0437"/>
    <w:rsid w:val="007C0DE0"/>
    <w:rsid w:val="007C1AE6"/>
    <w:rsid w:val="007C1E3E"/>
    <w:rsid w:val="007C1FD1"/>
    <w:rsid w:val="007C301A"/>
    <w:rsid w:val="007C3C39"/>
    <w:rsid w:val="007C3FC4"/>
    <w:rsid w:val="007C4596"/>
    <w:rsid w:val="007C4991"/>
    <w:rsid w:val="007C4C31"/>
    <w:rsid w:val="007C4E2E"/>
    <w:rsid w:val="007C690D"/>
    <w:rsid w:val="007C7370"/>
    <w:rsid w:val="007C7EEB"/>
    <w:rsid w:val="007D0B01"/>
    <w:rsid w:val="007D0EC5"/>
    <w:rsid w:val="007D20F6"/>
    <w:rsid w:val="007D2218"/>
    <w:rsid w:val="007D25D8"/>
    <w:rsid w:val="007D2644"/>
    <w:rsid w:val="007D27CE"/>
    <w:rsid w:val="007D385C"/>
    <w:rsid w:val="007D4301"/>
    <w:rsid w:val="007D4476"/>
    <w:rsid w:val="007D509B"/>
    <w:rsid w:val="007D56EA"/>
    <w:rsid w:val="007D588C"/>
    <w:rsid w:val="007D635B"/>
    <w:rsid w:val="007D6538"/>
    <w:rsid w:val="007D65A6"/>
    <w:rsid w:val="007D6EAF"/>
    <w:rsid w:val="007D79AD"/>
    <w:rsid w:val="007E1A5A"/>
    <w:rsid w:val="007E1F87"/>
    <w:rsid w:val="007E2AB0"/>
    <w:rsid w:val="007E2C83"/>
    <w:rsid w:val="007E2E97"/>
    <w:rsid w:val="007E3093"/>
    <w:rsid w:val="007E350F"/>
    <w:rsid w:val="007E3BCC"/>
    <w:rsid w:val="007E3FC5"/>
    <w:rsid w:val="007E5912"/>
    <w:rsid w:val="007E5F8B"/>
    <w:rsid w:val="007E6E1C"/>
    <w:rsid w:val="007E7245"/>
    <w:rsid w:val="007E749F"/>
    <w:rsid w:val="007E7E2D"/>
    <w:rsid w:val="007F0158"/>
    <w:rsid w:val="007F1C68"/>
    <w:rsid w:val="007F2675"/>
    <w:rsid w:val="007F365A"/>
    <w:rsid w:val="007F3CCE"/>
    <w:rsid w:val="007F3D7E"/>
    <w:rsid w:val="007F44DC"/>
    <w:rsid w:val="007F4C49"/>
    <w:rsid w:val="007F5464"/>
    <w:rsid w:val="007F5D92"/>
    <w:rsid w:val="007F5E4A"/>
    <w:rsid w:val="007F668B"/>
    <w:rsid w:val="007F6B39"/>
    <w:rsid w:val="007F73CB"/>
    <w:rsid w:val="007F75F1"/>
    <w:rsid w:val="007F7900"/>
    <w:rsid w:val="007F7985"/>
    <w:rsid w:val="00800250"/>
    <w:rsid w:val="008009C4"/>
    <w:rsid w:val="00801B82"/>
    <w:rsid w:val="008022E4"/>
    <w:rsid w:val="0080437F"/>
    <w:rsid w:val="008054E2"/>
    <w:rsid w:val="00806229"/>
    <w:rsid w:val="008078C0"/>
    <w:rsid w:val="00807D8C"/>
    <w:rsid w:val="008100C1"/>
    <w:rsid w:val="008102CB"/>
    <w:rsid w:val="00810D84"/>
    <w:rsid w:val="00811DD4"/>
    <w:rsid w:val="00812F33"/>
    <w:rsid w:val="008131F3"/>
    <w:rsid w:val="00813BC7"/>
    <w:rsid w:val="0081410C"/>
    <w:rsid w:val="00814AE7"/>
    <w:rsid w:val="00815B93"/>
    <w:rsid w:val="00815D0A"/>
    <w:rsid w:val="00816501"/>
    <w:rsid w:val="008178E1"/>
    <w:rsid w:val="00817E10"/>
    <w:rsid w:val="008207CA"/>
    <w:rsid w:val="008207D1"/>
    <w:rsid w:val="008208E3"/>
    <w:rsid w:val="00820DC2"/>
    <w:rsid w:val="008219B1"/>
    <w:rsid w:val="008219F1"/>
    <w:rsid w:val="00822968"/>
    <w:rsid w:val="00824536"/>
    <w:rsid w:val="00824D7C"/>
    <w:rsid w:val="00825508"/>
    <w:rsid w:val="00826195"/>
    <w:rsid w:val="00826CAE"/>
    <w:rsid w:val="00826CF6"/>
    <w:rsid w:val="008270D0"/>
    <w:rsid w:val="008272ED"/>
    <w:rsid w:val="0082783C"/>
    <w:rsid w:val="00827D23"/>
    <w:rsid w:val="00830786"/>
    <w:rsid w:val="00830B2A"/>
    <w:rsid w:val="00830BFB"/>
    <w:rsid w:val="00830FF6"/>
    <w:rsid w:val="00831D92"/>
    <w:rsid w:val="00831DE1"/>
    <w:rsid w:val="008323EC"/>
    <w:rsid w:val="008336A0"/>
    <w:rsid w:val="00833799"/>
    <w:rsid w:val="0083426E"/>
    <w:rsid w:val="00834EE2"/>
    <w:rsid w:val="00835998"/>
    <w:rsid w:val="00835FE2"/>
    <w:rsid w:val="00835FFD"/>
    <w:rsid w:val="0083645F"/>
    <w:rsid w:val="008364B5"/>
    <w:rsid w:val="0083675A"/>
    <w:rsid w:val="0083678A"/>
    <w:rsid w:val="00836B7B"/>
    <w:rsid w:val="00837D34"/>
    <w:rsid w:val="00840019"/>
    <w:rsid w:val="00840055"/>
    <w:rsid w:val="008401AF"/>
    <w:rsid w:val="00840374"/>
    <w:rsid w:val="00840A30"/>
    <w:rsid w:val="00840EEB"/>
    <w:rsid w:val="0084106E"/>
    <w:rsid w:val="008410C1"/>
    <w:rsid w:val="00841195"/>
    <w:rsid w:val="008422CB"/>
    <w:rsid w:val="00842972"/>
    <w:rsid w:val="00842F4C"/>
    <w:rsid w:val="0084319A"/>
    <w:rsid w:val="00844B93"/>
    <w:rsid w:val="0084528E"/>
    <w:rsid w:val="008452B1"/>
    <w:rsid w:val="008459D5"/>
    <w:rsid w:val="00845A82"/>
    <w:rsid w:val="00845B2E"/>
    <w:rsid w:val="00845C8D"/>
    <w:rsid w:val="00846B8B"/>
    <w:rsid w:val="0084768C"/>
    <w:rsid w:val="0084799B"/>
    <w:rsid w:val="00847C44"/>
    <w:rsid w:val="00851015"/>
    <w:rsid w:val="008519BC"/>
    <w:rsid w:val="00851AC8"/>
    <w:rsid w:val="00851BDB"/>
    <w:rsid w:val="008521AF"/>
    <w:rsid w:val="0085256F"/>
    <w:rsid w:val="00852E84"/>
    <w:rsid w:val="00852FED"/>
    <w:rsid w:val="008535D5"/>
    <w:rsid w:val="00853829"/>
    <w:rsid w:val="00853E52"/>
    <w:rsid w:val="00854A7B"/>
    <w:rsid w:val="00855945"/>
    <w:rsid w:val="0085614E"/>
    <w:rsid w:val="008564F4"/>
    <w:rsid w:val="008569D8"/>
    <w:rsid w:val="00856D9A"/>
    <w:rsid w:val="00857112"/>
    <w:rsid w:val="00857510"/>
    <w:rsid w:val="008602F9"/>
    <w:rsid w:val="00860AD2"/>
    <w:rsid w:val="00860B63"/>
    <w:rsid w:val="0086158F"/>
    <w:rsid w:val="008625A7"/>
    <w:rsid w:val="00862A2F"/>
    <w:rsid w:val="00863162"/>
    <w:rsid w:val="008633CB"/>
    <w:rsid w:val="008633F6"/>
    <w:rsid w:val="00864431"/>
    <w:rsid w:val="0086463B"/>
    <w:rsid w:val="00864D65"/>
    <w:rsid w:val="00864ECF"/>
    <w:rsid w:val="008652DC"/>
    <w:rsid w:val="00865911"/>
    <w:rsid w:val="0086594E"/>
    <w:rsid w:val="008659F1"/>
    <w:rsid w:val="00866E65"/>
    <w:rsid w:val="0086723B"/>
    <w:rsid w:val="008722CB"/>
    <w:rsid w:val="008724EA"/>
    <w:rsid w:val="00872711"/>
    <w:rsid w:val="00873653"/>
    <w:rsid w:val="0087471B"/>
    <w:rsid w:val="00875921"/>
    <w:rsid w:val="00876554"/>
    <w:rsid w:val="00876C7C"/>
    <w:rsid w:val="00876F61"/>
    <w:rsid w:val="00877430"/>
    <w:rsid w:val="0088058B"/>
    <w:rsid w:val="00880B58"/>
    <w:rsid w:val="00881709"/>
    <w:rsid w:val="00881A95"/>
    <w:rsid w:val="00881DFC"/>
    <w:rsid w:val="0088255F"/>
    <w:rsid w:val="00883314"/>
    <w:rsid w:val="008836BD"/>
    <w:rsid w:val="00883838"/>
    <w:rsid w:val="00885209"/>
    <w:rsid w:val="008861D2"/>
    <w:rsid w:val="00887144"/>
    <w:rsid w:val="0088718D"/>
    <w:rsid w:val="00887A53"/>
    <w:rsid w:val="00887D38"/>
    <w:rsid w:val="008900F5"/>
    <w:rsid w:val="00890122"/>
    <w:rsid w:val="008905D0"/>
    <w:rsid w:val="0089079C"/>
    <w:rsid w:val="0089082F"/>
    <w:rsid w:val="00891613"/>
    <w:rsid w:val="0089202E"/>
    <w:rsid w:val="008920C6"/>
    <w:rsid w:val="00892967"/>
    <w:rsid w:val="008937EB"/>
    <w:rsid w:val="00893D3D"/>
    <w:rsid w:val="00895299"/>
    <w:rsid w:val="008952F6"/>
    <w:rsid w:val="008956B4"/>
    <w:rsid w:val="00896000"/>
    <w:rsid w:val="0089670E"/>
    <w:rsid w:val="008968BC"/>
    <w:rsid w:val="008977AD"/>
    <w:rsid w:val="008979D0"/>
    <w:rsid w:val="008A028F"/>
    <w:rsid w:val="008A06CB"/>
    <w:rsid w:val="008A125A"/>
    <w:rsid w:val="008A1506"/>
    <w:rsid w:val="008A18D4"/>
    <w:rsid w:val="008A203C"/>
    <w:rsid w:val="008A203E"/>
    <w:rsid w:val="008A3D8E"/>
    <w:rsid w:val="008A4331"/>
    <w:rsid w:val="008A45AC"/>
    <w:rsid w:val="008A469D"/>
    <w:rsid w:val="008A4FAD"/>
    <w:rsid w:val="008A546F"/>
    <w:rsid w:val="008A56C2"/>
    <w:rsid w:val="008A5CD5"/>
    <w:rsid w:val="008A603B"/>
    <w:rsid w:val="008A61F0"/>
    <w:rsid w:val="008A675A"/>
    <w:rsid w:val="008A6EB7"/>
    <w:rsid w:val="008A6F0C"/>
    <w:rsid w:val="008B0E4C"/>
    <w:rsid w:val="008B1705"/>
    <w:rsid w:val="008B1B1F"/>
    <w:rsid w:val="008B28FB"/>
    <w:rsid w:val="008B2B73"/>
    <w:rsid w:val="008B360D"/>
    <w:rsid w:val="008B377E"/>
    <w:rsid w:val="008B383B"/>
    <w:rsid w:val="008B4234"/>
    <w:rsid w:val="008B48C9"/>
    <w:rsid w:val="008B4C59"/>
    <w:rsid w:val="008B4E0E"/>
    <w:rsid w:val="008B5FCB"/>
    <w:rsid w:val="008B69BE"/>
    <w:rsid w:val="008B6DC7"/>
    <w:rsid w:val="008B7090"/>
    <w:rsid w:val="008B76C9"/>
    <w:rsid w:val="008B7CCC"/>
    <w:rsid w:val="008C0C99"/>
    <w:rsid w:val="008C1CF1"/>
    <w:rsid w:val="008C1D6D"/>
    <w:rsid w:val="008C21F4"/>
    <w:rsid w:val="008C286C"/>
    <w:rsid w:val="008C2CFE"/>
    <w:rsid w:val="008C2DDC"/>
    <w:rsid w:val="008C300A"/>
    <w:rsid w:val="008C3363"/>
    <w:rsid w:val="008C4C80"/>
    <w:rsid w:val="008C61D1"/>
    <w:rsid w:val="008C64D6"/>
    <w:rsid w:val="008C6789"/>
    <w:rsid w:val="008C6AF5"/>
    <w:rsid w:val="008C6EB7"/>
    <w:rsid w:val="008C7141"/>
    <w:rsid w:val="008C73DD"/>
    <w:rsid w:val="008D036B"/>
    <w:rsid w:val="008D1F54"/>
    <w:rsid w:val="008D2475"/>
    <w:rsid w:val="008D25DA"/>
    <w:rsid w:val="008D329D"/>
    <w:rsid w:val="008D3DA0"/>
    <w:rsid w:val="008D3EB7"/>
    <w:rsid w:val="008D4567"/>
    <w:rsid w:val="008D4E60"/>
    <w:rsid w:val="008D5A51"/>
    <w:rsid w:val="008D6321"/>
    <w:rsid w:val="008D641D"/>
    <w:rsid w:val="008D6D5E"/>
    <w:rsid w:val="008D742B"/>
    <w:rsid w:val="008D7E5A"/>
    <w:rsid w:val="008D7F14"/>
    <w:rsid w:val="008E153B"/>
    <w:rsid w:val="008E28EA"/>
    <w:rsid w:val="008E3479"/>
    <w:rsid w:val="008E3513"/>
    <w:rsid w:val="008E4E00"/>
    <w:rsid w:val="008E588A"/>
    <w:rsid w:val="008E59E8"/>
    <w:rsid w:val="008E719E"/>
    <w:rsid w:val="008E752A"/>
    <w:rsid w:val="008E78A7"/>
    <w:rsid w:val="008E7903"/>
    <w:rsid w:val="008F1202"/>
    <w:rsid w:val="008F1582"/>
    <w:rsid w:val="008F1958"/>
    <w:rsid w:val="008F222B"/>
    <w:rsid w:val="008F2243"/>
    <w:rsid w:val="008F245B"/>
    <w:rsid w:val="008F3380"/>
    <w:rsid w:val="008F53D3"/>
    <w:rsid w:val="008F740F"/>
    <w:rsid w:val="008F7B86"/>
    <w:rsid w:val="008F7D70"/>
    <w:rsid w:val="008F7F90"/>
    <w:rsid w:val="00900125"/>
    <w:rsid w:val="00901AC0"/>
    <w:rsid w:val="00901DC6"/>
    <w:rsid w:val="00901EF2"/>
    <w:rsid w:val="009026E5"/>
    <w:rsid w:val="00903241"/>
    <w:rsid w:val="00903C04"/>
    <w:rsid w:val="009052CF"/>
    <w:rsid w:val="009073E9"/>
    <w:rsid w:val="0091022E"/>
    <w:rsid w:val="00910DFA"/>
    <w:rsid w:val="00911322"/>
    <w:rsid w:val="00911D22"/>
    <w:rsid w:val="009121A4"/>
    <w:rsid w:val="0091241B"/>
    <w:rsid w:val="00912992"/>
    <w:rsid w:val="009129F8"/>
    <w:rsid w:val="00912F03"/>
    <w:rsid w:val="00912FA7"/>
    <w:rsid w:val="009130C7"/>
    <w:rsid w:val="00913213"/>
    <w:rsid w:val="0091386F"/>
    <w:rsid w:val="00915263"/>
    <w:rsid w:val="0091567B"/>
    <w:rsid w:val="0091573C"/>
    <w:rsid w:val="00915E8F"/>
    <w:rsid w:val="00916AA1"/>
    <w:rsid w:val="00916DA3"/>
    <w:rsid w:val="009175DE"/>
    <w:rsid w:val="00917C93"/>
    <w:rsid w:val="00917D67"/>
    <w:rsid w:val="00920234"/>
    <w:rsid w:val="009207DD"/>
    <w:rsid w:val="00920D65"/>
    <w:rsid w:val="0092159A"/>
    <w:rsid w:val="009215FF"/>
    <w:rsid w:val="00921D5A"/>
    <w:rsid w:val="009224C7"/>
    <w:rsid w:val="009226CE"/>
    <w:rsid w:val="00922749"/>
    <w:rsid w:val="00922BC0"/>
    <w:rsid w:val="00923049"/>
    <w:rsid w:val="0092396F"/>
    <w:rsid w:val="00924E92"/>
    <w:rsid w:val="00925096"/>
    <w:rsid w:val="009253A2"/>
    <w:rsid w:val="009256A8"/>
    <w:rsid w:val="009263DD"/>
    <w:rsid w:val="00926610"/>
    <w:rsid w:val="00926DD1"/>
    <w:rsid w:val="00927460"/>
    <w:rsid w:val="009275A5"/>
    <w:rsid w:val="00927A8A"/>
    <w:rsid w:val="00927C0C"/>
    <w:rsid w:val="00930025"/>
    <w:rsid w:val="00930485"/>
    <w:rsid w:val="00930B10"/>
    <w:rsid w:val="00930DAB"/>
    <w:rsid w:val="00931F61"/>
    <w:rsid w:val="009324F7"/>
    <w:rsid w:val="00933261"/>
    <w:rsid w:val="0093445F"/>
    <w:rsid w:val="00934682"/>
    <w:rsid w:val="009354BE"/>
    <w:rsid w:val="00936D6C"/>
    <w:rsid w:val="0093762B"/>
    <w:rsid w:val="00937DE8"/>
    <w:rsid w:val="00943546"/>
    <w:rsid w:val="00943A82"/>
    <w:rsid w:val="009443F4"/>
    <w:rsid w:val="009446CE"/>
    <w:rsid w:val="009453FC"/>
    <w:rsid w:val="0094547C"/>
    <w:rsid w:val="0094630E"/>
    <w:rsid w:val="009465A4"/>
    <w:rsid w:val="00946879"/>
    <w:rsid w:val="0094721B"/>
    <w:rsid w:val="009472BE"/>
    <w:rsid w:val="00950080"/>
    <w:rsid w:val="00950CC8"/>
    <w:rsid w:val="0095101D"/>
    <w:rsid w:val="0095101E"/>
    <w:rsid w:val="009510FB"/>
    <w:rsid w:val="0095171F"/>
    <w:rsid w:val="00952128"/>
    <w:rsid w:val="00952447"/>
    <w:rsid w:val="00954C62"/>
    <w:rsid w:val="00954EAE"/>
    <w:rsid w:val="009565A2"/>
    <w:rsid w:val="009602B7"/>
    <w:rsid w:val="009615E2"/>
    <w:rsid w:val="00961683"/>
    <w:rsid w:val="0096236A"/>
    <w:rsid w:val="00962737"/>
    <w:rsid w:val="0096273D"/>
    <w:rsid w:val="0096296B"/>
    <w:rsid w:val="00962DC0"/>
    <w:rsid w:val="009637F3"/>
    <w:rsid w:val="00963B60"/>
    <w:rsid w:val="00964C14"/>
    <w:rsid w:val="00965402"/>
    <w:rsid w:val="00965AA0"/>
    <w:rsid w:val="00965C17"/>
    <w:rsid w:val="00965DA4"/>
    <w:rsid w:val="00965FAB"/>
    <w:rsid w:val="009660D6"/>
    <w:rsid w:val="0096646E"/>
    <w:rsid w:val="00966B74"/>
    <w:rsid w:val="009706A0"/>
    <w:rsid w:val="00970A5B"/>
    <w:rsid w:val="00970B0B"/>
    <w:rsid w:val="00970B19"/>
    <w:rsid w:val="00970C6B"/>
    <w:rsid w:val="009713A5"/>
    <w:rsid w:val="00971943"/>
    <w:rsid w:val="00972575"/>
    <w:rsid w:val="00973FDD"/>
    <w:rsid w:val="00974208"/>
    <w:rsid w:val="009759CC"/>
    <w:rsid w:val="009778FF"/>
    <w:rsid w:val="00977F6A"/>
    <w:rsid w:val="00980067"/>
    <w:rsid w:val="00980668"/>
    <w:rsid w:val="0098072E"/>
    <w:rsid w:val="00980D95"/>
    <w:rsid w:val="00980F4A"/>
    <w:rsid w:val="009810BF"/>
    <w:rsid w:val="00981D9F"/>
    <w:rsid w:val="009827E0"/>
    <w:rsid w:val="009834B5"/>
    <w:rsid w:val="009851F3"/>
    <w:rsid w:val="00985B3A"/>
    <w:rsid w:val="00986F9D"/>
    <w:rsid w:val="00987981"/>
    <w:rsid w:val="00987BBD"/>
    <w:rsid w:val="0099003F"/>
    <w:rsid w:val="009901F5"/>
    <w:rsid w:val="009906DE"/>
    <w:rsid w:val="00990725"/>
    <w:rsid w:val="00991712"/>
    <w:rsid w:val="0099234C"/>
    <w:rsid w:val="0099268C"/>
    <w:rsid w:val="00992814"/>
    <w:rsid w:val="009938ED"/>
    <w:rsid w:val="009948E9"/>
    <w:rsid w:val="00994A04"/>
    <w:rsid w:val="00994CBF"/>
    <w:rsid w:val="00994CC7"/>
    <w:rsid w:val="00994E54"/>
    <w:rsid w:val="00994F45"/>
    <w:rsid w:val="00995498"/>
    <w:rsid w:val="00995D37"/>
    <w:rsid w:val="009967BC"/>
    <w:rsid w:val="00996EC4"/>
    <w:rsid w:val="00997851"/>
    <w:rsid w:val="0099796D"/>
    <w:rsid w:val="009A2F71"/>
    <w:rsid w:val="009A36CB"/>
    <w:rsid w:val="009A3C4D"/>
    <w:rsid w:val="009A3F0B"/>
    <w:rsid w:val="009A3FED"/>
    <w:rsid w:val="009A4DE1"/>
    <w:rsid w:val="009A5347"/>
    <w:rsid w:val="009A6643"/>
    <w:rsid w:val="009A6792"/>
    <w:rsid w:val="009A6B57"/>
    <w:rsid w:val="009A6DE6"/>
    <w:rsid w:val="009A7CED"/>
    <w:rsid w:val="009B030C"/>
    <w:rsid w:val="009B043D"/>
    <w:rsid w:val="009B1A10"/>
    <w:rsid w:val="009B30F0"/>
    <w:rsid w:val="009B3F9B"/>
    <w:rsid w:val="009B471B"/>
    <w:rsid w:val="009B4D78"/>
    <w:rsid w:val="009B5185"/>
    <w:rsid w:val="009B5B54"/>
    <w:rsid w:val="009B7217"/>
    <w:rsid w:val="009B78D5"/>
    <w:rsid w:val="009B7A3D"/>
    <w:rsid w:val="009B7D25"/>
    <w:rsid w:val="009B7F62"/>
    <w:rsid w:val="009C016B"/>
    <w:rsid w:val="009C04FC"/>
    <w:rsid w:val="009C0546"/>
    <w:rsid w:val="009C1D1E"/>
    <w:rsid w:val="009C48B3"/>
    <w:rsid w:val="009C5238"/>
    <w:rsid w:val="009C5AB2"/>
    <w:rsid w:val="009C74B6"/>
    <w:rsid w:val="009C7544"/>
    <w:rsid w:val="009C7C55"/>
    <w:rsid w:val="009D096C"/>
    <w:rsid w:val="009D0A64"/>
    <w:rsid w:val="009D1A35"/>
    <w:rsid w:val="009D1A77"/>
    <w:rsid w:val="009D2C8F"/>
    <w:rsid w:val="009D2E52"/>
    <w:rsid w:val="009D2E85"/>
    <w:rsid w:val="009D319B"/>
    <w:rsid w:val="009D3304"/>
    <w:rsid w:val="009D3DAC"/>
    <w:rsid w:val="009D4272"/>
    <w:rsid w:val="009D443E"/>
    <w:rsid w:val="009D59C0"/>
    <w:rsid w:val="009D6103"/>
    <w:rsid w:val="009D633F"/>
    <w:rsid w:val="009D63A4"/>
    <w:rsid w:val="009D6C83"/>
    <w:rsid w:val="009D6E11"/>
    <w:rsid w:val="009D6FD4"/>
    <w:rsid w:val="009D7F0B"/>
    <w:rsid w:val="009E0C94"/>
    <w:rsid w:val="009E0E32"/>
    <w:rsid w:val="009E121D"/>
    <w:rsid w:val="009E1222"/>
    <w:rsid w:val="009E12CF"/>
    <w:rsid w:val="009E1A32"/>
    <w:rsid w:val="009E1ED1"/>
    <w:rsid w:val="009E229A"/>
    <w:rsid w:val="009E2587"/>
    <w:rsid w:val="009E3FE4"/>
    <w:rsid w:val="009E628F"/>
    <w:rsid w:val="009E63F5"/>
    <w:rsid w:val="009E6899"/>
    <w:rsid w:val="009E6CFB"/>
    <w:rsid w:val="009E6D4C"/>
    <w:rsid w:val="009E77D4"/>
    <w:rsid w:val="009E7DAB"/>
    <w:rsid w:val="009F0599"/>
    <w:rsid w:val="009F0B26"/>
    <w:rsid w:val="009F3441"/>
    <w:rsid w:val="009F3681"/>
    <w:rsid w:val="009F3D7E"/>
    <w:rsid w:val="009F4ACA"/>
    <w:rsid w:val="009F5330"/>
    <w:rsid w:val="009F53BA"/>
    <w:rsid w:val="009F5CC0"/>
    <w:rsid w:val="009F5CD1"/>
    <w:rsid w:val="009F63C0"/>
    <w:rsid w:val="009F73E3"/>
    <w:rsid w:val="009F79F9"/>
    <w:rsid w:val="00A010CA"/>
    <w:rsid w:val="00A01129"/>
    <w:rsid w:val="00A01C30"/>
    <w:rsid w:val="00A01F99"/>
    <w:rsid w:val="00A027A5"/>
    <w:rsid w:val="00A029D6"/>
    <w:rsid w:val="00A02D5E"/>
    <w:rsid w:val="00A034F0"/>
    <w:rsid w:val="00A03C55"/>
    <w:rsid w:val="00A03EDE"/>
    <w:rsid w:val="00A0409E"/>
    <w:rsid w:val="00A0498A"/>
    <w:rsid w:val="00A04C4B"/>
    <w:rsid w:val="00A04D23"/>
    <w:rsid w:val="00A05223"/>
    <w:rsid w:val="00A052D7"/>
    <w:rsid w:val="00A068DB"/>
    <w:rsid w:val="00A076AE"/>
    <w:rsid w:val="00A1011E"/>
    <w:rsid w:val="00A117FE"/>
    <w:rsid w:val="00A11D7C"/>
    <w:rsid w:val="00A1214C"/>
    <w:rsid w:val="00A12730"/>
    <w:rsid w:val="00A12E90"/>
    <w:rsid w:val="00A131CE"/>
    <w:rsid w:val="00A14B5F"/>
    <w:rsid w:val="00A1676E"/>
    <w:rsid w:val="00A1692B"/>
    <w:rsid w:val="00A16A97"/>
    <w:rsid w:val="00A17D13"/>
    <w:rsid w:val="00A2051E"/>
    <w:rsid w:val="00A2108C"/>
    <w:rsid w:val="00A22500"/>
    <w:rsid w:val="00A225F2"/>
    <w:rsid w:val="00A22C5F"/>
    <w:rsid w:val="00A23006"/>
    <w:rsid w:val="00A230CD"/>
    <w:rsid w:val="00A2415A"/>
    <w:rsid w:val="00A24444"/>
    <w:rsid w:val="00A2458A"/>
    <w:rsid w:val="00A24D46"/>
    <w:rsid w:val="00A264BA"/>
    <w:rsid w:val="00A26980"/>
    <w:rsid w:val="00A26FC2"/>
    <w:rsid w:val="00A27EB0"/>
    <w:rsid w:val="00A30EA8"/>
    <w:rsid w:val="00A314BE"/>
    <w:rsid w:val="00A316EB"/>
    <w:rsid w:val="00A31794"/>
    <w:rsid w:val="00A324C5"/>
    <w:rsid w:val="00A33156"/>
    <w:rsid w:val="00A340CA"/>
    <w:rsid w:val="00A343E0"/>
    <w:rsid w:val="00A34D2C"/>
    <w:rsid w:val="00A352EB"/>
    <w:rsid w:val="00A3660D"/>
    <w:rsid w:val="00A36DA1"/>
    <w:rsid w:val="00A374D1"/>
    <w:rsid w:val="00A37FA1"/>
    <w:rsid w:val="00A400D4"/>
    <w:rsid w:val="00A40B0F"/>
    <w:rsid w:val="00A4179D"/>
    <w:rsid w:val="00A417A7"/>
    <w:rsid w:val="00A418B1"/>
    <w:rsid w:val="00A418F0"/>
    <w:rsid w:val="00A41934"/>
    <w:rsid w:val="00A41968"/>
    <w:rsid w:val="00A422F2"/>
    <w:rsid w:val="00A429E4"/>
    <w:rsid w:val="00A43984"/>
    <w:rsid w:val="00A43D1E"/>
    <w:rsid w:val="00A44561"/>
    <w:rsid w:val="00A4573F"/>
    <w:rsid w:val="00A45A06"/>
    <w:rsid w:val="00A45D3E"/>
    <w:rsid w:val="00A462F0"/>
    <w:rsid w:val="00A47D39"/>
    <w:rsid w:val="00A47E28"/>
    <w:rsid w:val="00A50625"/>
    <w:rsid w:val="00A50646"/>
    <w:rsid w:val="00A50666"/>
    <w:rsid w:val="00A50ECC"/>
    <w:rsid w:val="00A512B8"/>
    <w:rsid w:val="00A51806"/>
    <w:rsid w:val="00A51AA6"/>
    <w:rsid w:val="00A52084"/>
    <w:rsid w:val="00A524AB"/>
    <w:rsid w:val="00A52618"/>
    <w:rsid w:val="00A5409A"/>
    <w:rsid w:val="00A54797"/>
    <w:rsid w:val="00A54EF1"/>
    <w:rsid w:val="00A54F88"/>
    <w:rsid w:val="00A55D2B"/>
    <w:rsid w:val="00A55D4B"/>
    <w:rsid w:val="00A5728D"/>
    <w:rsid w:val="00A57519"/>
    <w:rsid w:val="00A57630"/>
    <w:rsid w:val="00A60A02"/>
    <w:rsid w:val="00A61A94"/>
    <w:rsid w:val="00A62076"/>
    <w:rsid w:val="00A629CF"/>
    <w:rsid w:val="00A63701"/>
    <w:rsid w:val="00A63815"/>
    <w:rsid w:val="00A63DE4"/>
    <w:rsid w:val="00A64FD7"/>
    <w:rsid w:val="00A6502F"/>
    <w:rsid w:val="00A650C0"/>
    <w:rsid w:val="00A66D51"/>
    <w:rsid w:val="00A67D77"/>
    <w:rsid w:val="00A70344"/>
    <w:rsid w:val="00A707D4"/>
    <w:rsid w:val="00A7124E"/>
    <w:rsid w:val="00A7229D"/>
    <w:rsid w:val="00A73F5B"/>
    <w:rsid w:val="00A75208"/>
    <w:rsid w:val="00A7522D"/>
    <w:rsid w:val="00A76AC0"/>
    <w:rsid w:val="00A76B77"/>
    <w:rsid w:val="00A80760"/>
    <w:rsid w:val="00A813C6"/>
    <w:rsid w:val="00A81AE5"/>
    <w:rsid w:val="00A82510"/>
    <w:rsid w:val="00A82934"/>
    <w:rsid w:val="00A82E5A"/>
    <w:rsid w:val="00A83756"/>
    <w:rsid w:val="00A83B22"/>
    <w:rsid w:val="00A843E8"/>
    <w:rsid w:val="00A84853"/>
    <w:rsid w:val="00A85379"/>
    <w:rsid w:val="00A857A5"/>
    <w:rsid w:val="00A86D74"/>
    <w:rsid w:val="00A8761C"/>
    <w:rsid w:val="00A90312"/>
    <w:rsid w:val="00A91862"/>
    <w:rsid w:val="00A934E1"/>
    <w:rsid w:val="00A93E4E"/>
    <w:rsid w:val="00A95146"/>
    <w:rsid w:val="00A95277"/>
    <w:rsid w:val="00A9599A"/>
    <w:rsid w:val="00A95EF0"/>
    <w:rsid w:val="00A96161"/>
    <w:rsid w:val="00A9652D"/>
    <w:rsid w:val="00A96BA9"/>
    <w:rsid w:val="00AA052D"/>
    <w:rsid w:val="00AA119A"/>
    <w:rsid w:val="00AA11DD"/>
    <w:rsid w:val="00AA1295"/>
    <w:rsid w:val="00AA1463"/>
    <w:rsid w:val="00AA1DA8"/>
    <w:rsid w:val="00AA1E11"/>
    <w:rsid w:val="00AA1F02"/>
    <w:rsid w:val="00AA2351"/>
    <w:rsid w:val="00AA2663"/>
    <w:rsid w:val="00AA2F88"/>
    <w:rsid w:val="00AA46EA"/>
    <w:rsid w:val="00AA576D"/>
    <w:rsid w:val="00AA5A19"/>
    <w:rsid w:val="00AA64C0"/>
    <w:rsid w:val="00AA757F"/>
    <w:rsid w:val="00AA78A6"/>
    <w:rsid w:val="00AB09E9"/>
    <w:rsid w:val="00AB0DE2"/>
    <w:rsid w:val="00AB0F0C"/>
    <w:rsid w:val="00AB0F9E"/>
    <w:rsid w:val="00AB1B7B"/>
    <w:rsid w:val="00AB1C24"/>
    <w:rsid w:val="00AB1D9A"/>
    <w:rsid w:val="00AB2941"/>
    <w:rsid w:val="00AB30DC"/>
    <w:rsid w:val="00AB32AB"/>
    <w:rsid w:val="00AB4156"/>
    <w:rsid w:val="00AB4247"/>
    <w:rsid w:val="00AB4579"/>
    <w:rsid w:val="00AB51F2"/>
    <w:rsid w:val="00AB5278"/>
    <w:rsid w:val="00AB5282"/>
    <w:rsid w:val="00AB5C0B"/>
    <w:rsid w:val="00AB6360"/>
    <w:rsid w:val="00AB757A"/>
    <w:rsid w:val="00AB77AA"/>
    <w:rsid w:val="00AB79C0"/>
    <w:rsid w:val="00AB7FB0"/>
    <w:rsid w:val="00AC07CA"/>
    <w:rsid w:val="00AC1E3B"/>
    <w:rsid w:val="00AC296F"/>
    <w:rsid w:val="00AC2B0D"/>
    <w:rsid w:val="00AC2CCB"/>
    <w:rsid w:val="00AC39E1"/>
    <w:rsid w:val="00AC3BC7"/>
    <w:rsid w:val="00AC40D4"/>
    <w:rsid w:val="00AC4A71"/>
    <w:rsid w:val="00AC5581"/>
    <w:rsid w:val="00AC5A71"/>
    <w:rsid w:val="00AC5AD0"/>
    <w:rsid w:val="00AC5D91"/>
    <w:rsid w:val="00AC62E9"/>
    <w:rsid w:val="00AC6A94"/>
    <w:rsid w:val="00AC6DCA"/>
    <w:rsid w:val="00AC6ECD"/>
    <w:rsid w:val="00AC7029"/>
    <w:rsid w:val="00AC71B9"/>
    <w:rsid w:val="00AC750E"/>
    <w:rsid w:val="00AC7B99"/>
    <w:rsid w:val="00AD1506"/>
    <w:rsid w:val="00AD1698"/>
    <w:rsid w:val="00AD1C94"/>
    <w:rsid w:val="00AD203C"/>
    <w:rsid w:val="00AD20AB"/>
    <w:rsid w:val="00AD219D"/>
    <w:rsid w:val="00AD22D2"/>
    <w:rsid w:val="00AD2E50"/>
    <w:rsid w:val="00AD2E64"/>
    <w:rsid w:val="00AD3835"/>
    <w:rsid w:val="00AD49A2"/>
    <w:rsid w:val="00AD562D"/>
    <w:rsid w:val="00AD56F3"/>
    <w:rsid w:val="00AD5F26"/>
    <w:rsid w:val="00AD6A83"/>
    <w:rsid w:val="00AD6AA2"/>
    <w:rsid w:val="00AD7969"/>
    <w:rsid w:val="00AE09B6"/>
    <w:rsid w:val="00AE0B2C"/>
    <w:rsid w:val="00AE0DB8"/>
    <w:rsid w:val="00AE0F92"/>
    <w:rsid w:val="00AE0FEE"/>
    <w:rsid w:val="00AE12DC"/>
    <w:rsid w:val="00AE1AA5"/>
    <w:rsid w:val="00AE1CA4"/>
    <w:rsid w:val="00AE25ED"/>
    <w:rsid w:val="00AE2867"/>
    <w:rsid w:val="00AE299B"/>
    <w:rsid w:val="00AE2EEF"/>
    <w:rsid w:val="00AE3300"/>
    <w:rsid w:val="00AE3871"/>
    <w:rsid w:val="00AE3B53"/>
    <w:rsid w:val="00AE3EFC"/>
    <w:rsid w:val="00AE48E3"/>
    <w:rsid w:val="00AE625D"/>
    <w:rsid w:val="00AE6A2A"/>
    <w:rsid w:val="00AE6DFB"/>
    <w:rsid w:val="00AE7021"/>
    <w:rsid w:val="00AE70CF"/>
    <w:rsid w:val="00AE7A65"/>
    <w:rsid w:val="00AE7AFF"/>
    <w:rsid w:val="00AE7CB9"/>
    <w:rsid w:val="00AE7CD8"/>
    <w:rsid w:val="00AE7D20"/>
    <w:rsid w:val="00AF0095"/>
    <w:rsid w:val="00AF04BD"/>
    <w:rsid w:val="00AF04CC"/>
    <w:rsid w:val="00AF1097"/>
    <w:rsid w:val="00AF1732"/>
    <w:rsid w:val="00AF1806"/>
    <w:rsid w:val="00AF1B4D"/>
    <w:rsid w:val="00AF30A3"/>
    <w:rsid w:val="00AF342D"/>
    <w:rsid w:val="00AF50DE"/>
    <w:rsid w:val="00AF5AB3"/>
    <w:rsid w:val="00AF6AE4"/>
    <w:rsid w:val="00AF6B34"/>
    <w:rsid w:val="00AF6FF0"/>
    <w:rsid w:val="00AF709D"/>
    <w:rsid w:val="00B011DA"/>
    <w:rsid w:val="00B01543"/>
    <w:rsid w:val="00B0185E"/>
    <w:rsid w:val="00B0288E"/>
    <w:rsid w:val="00B03E98"/>
    <w:rsid w:val="00B041E1"/>
    <w:rsid w:val="00B04215"/>
    <w:rsid w:val="00B0559B"/>
    <w:rsid w:val="00B0564B"/>
    <w:rsid w:val="00B056B7"/>
    <w:rsid w:val="00B06432"/>
    <w:rsid w:val="00B06A3E"/>
    <w:rsid w:val="00B074EE"/>
    <w:rsid w:val="00B076FE"/>
    <w:rsid w:val="00B10204"/>
    <w:rsid w:val="00B11D57"/>
    <w:rsid w:val="00B12D34"/>
    <w:rsid w:val="00B12E4B"/>
    <w:rsid w:val="00B12EF9"/>
    <w:rsid w:val="00B12FF2"/>
    <w:rsid w:val="00B133B5"/>
    <w:rsid w:val="00B13449"/>
    <w:rsid w:val="00B13503"/>
    <w:rsid w:val="00B14430"/>
    <w:rsid w:val="00B14958"/>
    <w:rsid w:val="00B14E90"/>
    <w:rsid w:val="00B15C28"/>
    <w:rsid w:val="00B15D00"/>
    <w:rsid w:val="00B15EA8"/>
    <w:rsid w:val="00B16C6F"/>
    <w:rsid w:val="00B17193"/>
    <w:rsid w:val="00B17407"/>
    <w:rsid w:val="00B1748E"/>
    <w:rsid w:val="00B178CC"/>
    <w:rsid w:val="00B17A3C"/>
    <w:rsid w:val="00B17B6D"/>
    <w:rsid w:val="00B2041A"/>
    <w:rsid w:val="00B20A33"/>
    <w:rsid w:val="00B20AE2"/>
    <w:rsid w:val="00B2121A"/>
    <w:rsid w:val="00B217C1"/>
    <w:rsid w:val="00B21F6E"/>
    <w:rsid w:val="00B234F1"/>
    <w:rsid w:val="00B237C1"/>
    <w:rsid w:val="00B246C6"/>
    <w:rsid w:val="00B24A50"/>
    <w:rsid w:val="00B24D01"/>
    <w:rsid w:val="00B24D22"/>
    <w:rsid w:val="00B251D3"/>
    <w:rsid w:val="00B25279"/>
    <w:rsid w:val="00B2542E"/>
    <w:rsid w:val="00B2646B"/>
    <w:rsid w:val="00B26728"/>
    <w:rsid w:val="00B26D22"/>
    <w:rsid w:val="00B27155"/>
    <w:rsid w:val="00B2787B"/>
    <w:rsid w:val="00B27AE3"/>
    <w:rsid w:val="00B27B9F"/>
    <w:rsid w:val="00B30051"/>
    <w:rsid w:val="00B30A89"/>
    <w:rsid w:val="00B30FAC"/>
    <w:rsid w:val="00B31169"/>
    <w:rsid w:val="00B314CE"/>
    <w:rsid w:val="00B31A97"/>
    <w:rsid w:val="00B32935"/>
    <w:rsid w:val="00B32A07"/>
    <w:rsid w:val="00B33A65"/>
    <w:rsid w:val="00B34230"/>
    <w:rsid w:val="00B344D8"/>
    <w:rsid w:val="00B34B93"/>
    <w:rsid w:val="00B35AA7"/>
    <w:rsid w:val="00B35CF5"/>
    <w:rsid w:val="00B3605F"/>
    <w:rsid w:val="00B36B8E"/>
    <w:rsid w:val="00B404B3"/>
    <w:rsid w:val="00B404F9"/>
    <w:rsid w:val="00B40696"/>
    <w:rsid w:val="00B40808"/>
    <w:rsid w:val="00B40848"/>
    <w:rsid w:val="00B40C8D"/>
    <w:rsid w:val="00B41761"/>
    <w:rsid w:val="00B43D86"/>
    <w:rsid w:val="00B454B6"/>
    <w:rsid w:val="00B4582A"/>
    <w:rsid w:val="00B45CA1"/>
    <w:rsid w:val="00B46FC6"/>
    <w:rsid w:val="00B51361"/>
    <w:rsid w:val="00B529A9"/>
    <w:rsid w:val="00B52BAA"/>
    <w:rsid w:val="00B52E4F"/>
    <w:rsid w:val="00B52F24"/>
    <w:rsid w:val="00B52F97"/>
    <w:rsid w:val="00B5363B"/>
    <w:rsid w:val="00B5380A"/>
    <w:rsid w:val="00B53B94"/>
    <w:rsid w:val="00B545FF"/>
    <w:rsid w:val="00B54630"/>
    <w:rsid w:val="00B54E3A"/>
    <w:rsid w:val="00B5533B"/>
    <w:rsid w:val="00B55997"/>
    <w:rsid w:val="00B568EA"/>
    <w:rsid w:val="00B56BFF"/>
    <w:rsid w:val="00B57C1B"/>
    <w:rsid w:val="00B60E7C"/>
    <w:rsid w:val="00B60F09"/>
    <w:rsid w:val="00B6134F"/>
    <w:rsid w:val="00B61D28"/>
    <w:rsid w:val="00B63CB2"/>
    <w:rsid w:val="00B64A8D"/>
    <w:rsid w:val="00B64DF4"/>
    <w:rsid w:val="00B650E5"/>
    <w:rsid w:val="00B65660"/>
    <w:rsid w:val="00B65DD3"/>
    <w:rsid w:val="00B65E75"/>
    <w:rsid w:val="00B66B5E"/>
    <w:rsid w:val="00B66CEF"/>
    <w:rsid w:val="00B675BF"/>
    <w:rsid w:val="00B675CC"/>
    <w:rsid w:val="00B6760A"/>
    <w:rsid w:val="00B6760E"/>
    <w:rsid w:val="00B67905"/>
    <w:rsid w:val="00B7007B"/>
    <w:rsid w:val="00B70322"/>
    <w:rsid w:val="00B71601"/>
    <w:rsid w:val="00B71A46"/>
    <w:rsid w:val="00B71D91"/>
    <w:rsid w:val="00B729E3"/>
    <w:rsid w:val="00B73042"/>
    <w:rsid w:val="00B7331B"/>
    <w:rsid w:val="00B73731"/>
    <w:rsid w:val="00B738E6"/>
    <w:rsid w:val="00B73AA7"/>
    <w:rsid w:val="00B743D5"/>
    <w:rsid w:val="00B74EEB"/>
    <w:rsid w:val="00B75284"/>
    <w:rsid w:val="00B75C0E"/>
    <w:rsid w:val="00B76DCF"/>
    <w:rsid w:val="00B77C82"/>
    <w:rsid w:val="00B8002B"/>
    <w:rsid w:val="00B80599"/>
    <w:rsid w:val="00B805F6"/>
    <w:rsid w:val="00B80B15"/>
    <w:rsid w:val="00B80FA5"/>
    <w:rsid w:val="00B81D15"/>
    <w:rsid w:val="00B825F3"/>
    <w:rsid w:val="00B82A4B"/>
    <w:rsid w:val="00B87344"/>
    <w:rsid w:val="00B87D3E"/>
    <w:rsid w:val="00B911E2"/>
    <w:rsid w:val="00B9233C"/>
    <w:rsid w:val="00B923F2"/>
    <w:rsid w:val="00B932AF"/>
    <w:rsid w:val="00B9338F"/>
    <w:rsid w:val="00B93832"/>
    <w:rsid w:val="00B93F8A"/>
    <w:rsid w:val="00B94190"/>
    <w:rsid w:val="00B941C7"/>
    <w:rsid w:val="00B941E6"/>
    <w:rsid w:val="00B94414"/>
    <w:rsid w:val="00B94921"/>
    <w:rsid w:val="00B9625A"/>
    <w:rsid w:val="00B964F6"/>
    <w:rsid w:val="00B972BC"/>
    <w:rsid w:val="00B97395"/>
    <w:rsid w:val="00BA0091"/>
    <w:rsid w:val="00BA01A3"/>
    <w:rsid w:val="00BA0737"/>
    <w:rsid w:val="00BA0999"/>
    <w:rsid w:val="00BA0AF1"/>
    <w:rsid w:val="00BA0EEE"/>
    <w:rsid w:val="00BA1071"/>
    <w:rsid w:val="00BA1073"/>
    <w:rsid w:val="00BA11E1"/>
    <w:rsid w:val="00BA1B79"/>
    <w:rsid w:val="00BA26B4"/>
    <w:rsid w:val="00BA2AA3"/>
    <w:rsid w:val="00BA2B6F"/>
    <w:rsid w:val="00BA2CAC"/>
    <w:rsid w:val="00BA3004"/>
    <w:rsid w:val="00BA30AE"/>
    <w:rsid w:val="00BA3872"/>
    <w:rsid w:val="00BA389B"/>
    <w:rsid w:val="00BA38A9"/>
    <w:rsid w:val="00BA3985"/>
    <w:rsid w:val="00BA3D93"/>
    <w:rsid w:val="00BA428B"/>
    <w:rsid w:val="00BA50D0"/>
    <w:rsid w:val="00BA5849"/>
    <w:rsid w:val="00BA5AF0"/>
    <w:rsid w:val="00BA5B02"/>
    <w:rsid w:val="00BA5F7C"/>
    <w:rsid w:val="00BA6B7C"/>
    <w:rsid w:val="00BA7832"/>
    <w:rsid w:val="00BB00FC"/>
    <w:rsid w:val="00BB1044"/>
    <w:rsid w:val="00BB198D"/>
    <w:rsid w:val="00BB2055"/>
    <w:rsid w:val="00BB2503"/>
    <w:rsid w:val="00BB2B12"/>
    <w:rsid w:val="00BB2CF4"/>
    <w:rsid w:val="00BB2D3C"/>
    <w:rsid w:val="00BB2E78"/>
    <w:rsid w:val="00BB2F66"/>
    <w:rsid w:val="00BB3379"/>
    <w:rsid w:val="00BB489B"/>
    <w:rsid w:val="00BB4B65"/>
    <w:rsid w:val="00BB4E0C"/>
    <w:rsid w:val="00BB64E6"/>
    <w:rsid w:val="00BB69A7"/>
    <w:rsid w:val="00BB69E6"/>
    <w:rsid w:val="00BB6C35"/>
    <w:rsid w:val="00BB7441"/>
    <w:rsid w:val="00BB74B1"/>
    <w:rsid w:val="00BB7EF8"/>
    <w:rsid w:val="00BC0D52"/>
    <w:rsid w:val="00BC1464"/>
    <w:rsid w:val="00BC17B5"/>
    <w:rsid w:val="00BC189F"/>
    <w:rsid w:val="00BC18D6"/>
    <w:rsid w:val="00BC30E6"/>
    <w:rsid w:val="00BC3516"/>
    <w:rsid w:val="00BC3576"/>
    <w:rsid w:val="00BC3810"/>
    <w:rsid w:val="00BC3BE6"/>
    <w:rsid w:val="00BC49FF"/>
    <w:rsid w:val="00BC4B8C"/>
    <w:rsid w:val="00BC4BCC"/>
    <w:rsid w:val="00BC66D9"/>
    <w:rsid w:val="00BC7241"/>
    <w:rsid w:val="00BC7302"/>
    <w:rsid w:val="00BC7314"/>
    <w:rsid w:val="00BC7915"/>
    <w:rsid w:val="00BD05DD"/>
    <w:rsid w:val="00BD0F37"/>
    <w:rsid w:val="00BD28A3"/>
    <w:rsid w:val="00BD3201"/>
    <w:rsid w:val="00BD37C3"/>
    <w:rsid w:val="00BD40E2"/>
    <w:rsid w:val="00BD496D"/>
    <w:rsid w:val="00BD54E0"/>
    <w:rsid w:val="00BD5CA7"/>
    <w:rsid w:val="00BD5E06"/>
    <w:rsid w:val="00BD613E"/>
    <w:rsid w:val="00BD65B7"/>
    <w:rsid w:val="00BD6873"/>
    <w:rsid w:val="00BD7316"/>
    <w:rsid w:val="00BD73A5"/>
    <w:rsid w:val="00BE0611"/>
    <w:rsid w:val="00BE0AB8"/>
    <w:rsid w:val="00BE0EA9"/>
    <w:rsid w:val="00BE0F06"/>
    <w:rsid w:val="00BE119C"/>
    <w:rsid w:val="00BE1A74"/>
    <w:rsid w:val="00BE24DC"/>
    <w:rsid w:val="00BE48BD"/>
    <w:rsid w:val="00BE565C"/>
    <w:rsid w:val="00BE6596"/>
    <w:rsid w:val="00BE663C"/>
    <w:rsid w:val="00BE73D7"/>
    <w:rsid w:val="00BF008D"/>
    <w:rsid w:val="00BF07F1"/>
    <w:rsid w:val="00BF0B07"/>
    <w:rsid w:val="00BF0BF6"/>
    <w:rsid w:val="00BF0E5E"/>
    <w:rsid w:val="00BF0EBE"/>
    <w:rsid w:val="00BF1C95"/>
    <w:rsid w:val="00BF1F6C"/>
    <w:rsid w:val="00BF2D8E"/>
    <w:rsid w:val="00BF366A"/>
    <w:rsid w:val="00BF3784"/>
    <w:rsid w:val="00BF42BD"/>
    <w:rsid w:val="00BF4380"/>
    <w:rsid w:val="00BF4D75"/>
    <w:rsid w:val="00BF534E"/>
    <w:rsid w:val="00BF5BF5"/>
    <w:rsid w:val="00BF5C01"/>
    <w:rsid w:val="00BF5CAA"/>
    <w:rsid w:val="00BF5EEF"/>
    <w:rsid w:val="00BF7D0D"/>
    <w:rsid w:val="00C00539"/>
    <w:rsid w:val="00C005E8"/>
    <w:rsid w:val="00C006EA"/>
    <w:rsid w:val="00C00807"/>
    <w:rsid w:val="00C011C7"/>
    <w:rsid w:val="00C01798"/>
    <w:rsid w:val="00C01FA9"/>
    <w:rsid w:val="00C02314"/>
    <w:rsid w:val="00C026BB"/>
    <w:rsid w:val="00C029DF"/>
    <w:rsid w:val="00C0320D"/>
    <w:rsid w:val="00C039A3"/>
    <w:rsid w:val="00C04185"/>
    <w:rsid w:val="00C04CD9"/>
    <w:rsid w:val="00C05371"/>
    <w:rsid w:val="00C055F6"/>
    <w:rsid w:val="00C056EC"/>
    <w:rsid w:val="00C065A3"/>
    <w:rsid w:val="00C068CB"/>
    <w:rsid w:val="00C06D23"/>
    <w:rsid w:val="00C0719B"/>
    <w:rsid w:val="00C07BD9"/>
    <w:rsid w:val="00C07D5C"/>
    <w:rsid w:val="00C07E90"/>
    <w:rsid w:val="00C10E6C"/>
    <w:rsid w:val="00C1169F"/>
    <w:rsid w:val="00C12483"/>
    <w:rsid w:val="00C1306F"/>
    <w:rsid w:val="00C14318"/>
    <w:rsid w:val="00C145DC"/>
    <w:rsid w:val="00C145F0"/>
    <w:rsid w:val="00C14AAD"/>
    <w:rsid w:val="00C14F3A"/>
    <w:rsid w:val="00C15337"/>
    <w:rsid w:val="00C15AA8"/>
    <w:rsid w:val="00C15B38"/>
    <w:rsid w:val="00C171D0"/>
    <w:rsid w:val="00C172E6"/>
    <w:rsid w:val="00C17766"/>
    <w:rsid w:val="00C17CE4"/>
    <w:rsid w:val="00C17F81"/>
    <w:rsid w:val="00C20175"/>
    <w:rsid w:val="00C208B1"/>
    <w:rsid w:val="00C20A1D"/>
    <w:rsid w:val="00C20D54"/>
    <w:rsid w:val="00C22436"/>
    <w:rsid w:val="00C2282D"/>
    <w:rsid w:val="00C22CA6"/>
    <w:rsid w:val="00C22D2C"/>
    <w:rsid w:val="00C230D9"/>
    <w:rsid w:val="00C23BFA"/>
    <w:rsid w:val="00C248CA"/>
    <w:rsid w:val="00C24F2A"/>
    <w:rsid w:val="00C25351"/>
    <w:rsid w:val="00C25C08"/>
    <w:rsid w:val="00C260DA"/>
    <w:rsid w:val="00C268DB"/>
    <w:rsid w:val="00C26AEA"/>
    <w:rsid w:val="00C26B63"/>
    <w:rsid w:val="00C277D4"/>
    <w:rsid w:val="00C2784F"/>
    <w:rsid w:val="00C2794B"/>
    <w:rsid w:val="00C30D15"/>
    <w:rsid w:val="00C314D5"/>
    <w:rsid w:val="00C317A5"/>
    <w:rsid w:val="00C3290E"/>
    <w:rsid w:val="00C32FB1"/>
    <w:rsid w:val="00C330E3"/>
    <w:rsid w:val="00C3353A"/>
    <w:rsid w:val="00C3355F"/>
    <w:rsid w:val="00C34B08"/>
    <w:rsid w:val="00C3529F"/>
    <w:rsid w:val="00C35307"/>
    <w:rsid w:val="00C353AC"/>
    <w:rsid w:val="00C35AE2"/>
    <w:rsid w:val="00C365D2"/>
    <w:rsid w:val="00C36C78"/>
    <w:rsid w:val="00C377BE"/>
    <w:rsid w:val="00C4097A"/>
    <w:rsid w:val="00C411A0"/>
    <w:rsid w:val="00C41247"/>
    <w:rsid w:val="00C41A0F"/>
    <w:rsid w:val="00C42860"/>
    <w:rsid w:val="00C42E66"/>
    <w:rsid w:val="00C43291"/>
    <w:rsid w:val="00C43DA8"/>
    <w:rsid w:val="00C43FCC"/>
    <w:rsid w:val="00C44237"/>
    <w:rsid w:val="00C44496"/>
    <w:rsid w:val="00C45208"/>
    <w:rsid w:val="00C4544F"/>
    <w:rsid w:val="00C4547E"/>
    <w:rsid w:val="00C456D0"/>
    <w:rsid w:val="00C45CEA"/>
    <w:rsid w:val="00C46BDD"/>
    <w:rsid w:val="00C502B3"/>
    <w:rsid w:val="00C50FE9"/>
    <w:rsid w:val="00C51371"/>
    <w:rsid w:val="00C51E7D"/>
    <w:rsid w:val="00C52818"/>
    <w:rsid w:val="00C52862"/>
    <w:rsid w:val="00C52FA5"/>
    <w:rsid w:val="00C5437E"/>
    <w:rsid w:val="00C5494D"/>
    <w:rsid w:val="00C54EFD"/>
    <w:rsid w:val="00C559E2"/>
    <w:rsid w:val="00C55A48"/>
    <w:rsid w:val="00C56A1B"/>
    <w:rsid w:val="00C56FD3"/>
    <w:rsid w:val="00C579DB"/>
    <w:rsid w:val="00C605DB"/>
    <w:rsid w:val="00C61209"/>
    <w:rsid w:val="00C61508"/>
    <w:rsid w:val="00C615B9"/>
    <w:rsid w:val="00C61693"/>
    <w:rsid w:val="00C619B6"/>
    <w:rsid w:val="00C619E6"/>
    <w:rsid w:val="00C62BC6"/>
    <w:rsid w:val="00C62D75"/>
    <w:rsid w:val="00C63230"/>
    <w:rsid w:val="00C63CFF"/>
    <w:rsid w:val="00C64D12"/>
    <w:rsid w:val="00C65210"/>
    <w:rsid w:val="00C660B1"/>
    <w:rsid w:val="00C67D68"/>
    <w:rsid w:val="00C67DFC"/>
    <w:rsid w:val="00C710B3"/>
    <w:rsid w:val="00C71331"/>
    <w:rsid w:val="00C716BB"/>
    <w:rsid w:val="00C731C2"/>
    <w:rsid w:val="00C73569"/>
    <w:rsid w:val="00C73671"/>
    <w:rsid w:val="00C73925"/>
    <w:rsid w:val="00C74338"/>
    <w:rsid w:val="00C75410"/>
    <w:rsid w:val="00C7668F"/>
    <w:rsid w:val="00C80B8A"/>
    <w:rsid w:val="00C80C16"/>
    <w:rsid w:val="00C8169C"/>
    <w:rsid w:val="00C816C0"/>
    <w:rsid w:val="00C825C0"/>
    <w:rsid w:val="00C83BA2"/>
    <w:rsid w:val="00C84875"/>
    <w:rsid w:val="00C85EBC"/>
    <w:rsid w:val="00C86D68"/>
    <w:rsid w:val="00C872A9"/>
    <w:rsid w:val="00C8794E"/>
    <w:rsid w:val="00C87F6B"/>
    <w:rsid w:val="00C91080"/>
    <w:rsid w:val="00C916C9"/>
    <w:rsid w:val="00C92920"/>
    <w:rsid w:val="00C936F1"/>
    <w:rsid w:val="00C93767"/>
    <w:rsid w:val="00C93868"/>
    <w:rsid w:val="00C945D3"/>
    <w:rsid w:val="00C95A8B"/>
    <w:rsid w:val="00C95A95"/>
    <w:rsid w:val="00C96D75"/>
    <w:rsid w:val="00C96DE2"/>
    <w:rsid w:val="00C971FF"/>
    <w:rsid w:val="00C97C25"/>
    <w:rsid w:val="00CA01DE"/>
    <w:rsid w:val="00CA0F0F"/>
    <w:rsid w:val="00CA175C"/>
    <w:rsid w:val="00CA1B91"/>
    <w:rsid w:val="00CA1C61"/>
    <w:rsid w:val="00CA2043"/>
    <w:rsid w:val="00CA2AC2"/>
    <w:rsid w:val="00CA2DB3"/>
    <w:rsid w:val="00CA3030"/>
    <w:rsid w:val="00CA40FD"/>
    <w:rsid w:val="00CA50FA"/>
    <w:rsid w:val="00CA56B2"/>
    <w:rsid w:val="00CA5718"/>
    <w:rsid w:val="00CA6158"/>
    <w:rsid w:val="00CA6898"/>
    <w:rsid w:val="00CA6AC9"/>
    <w:rsid w:val="00CA77EB"/>
    <w:rsid w:val="00CB05FC"/>
    <w:rsid w:val="00CB103E"/>
    <w:rsid w:val="00CB1CE4"/>
    <w:rsid w:val="00CB1EAA"/>
    <w:rsid w:val="00CB2084"/>
    <w:rsid w:val="00CB2247"/>
    <w:rsid w:val="00CB2386"/>
    <w:rsid w:val="00CB2ED2"/>
    <w:rsid w:val="00CB3308"/>
    <w:rsid w:val="00CB3810"/>
    <w:rsid w:val="00CB4D1D"/>
    <w:rsid w:val="00CB4EBF"/>
    <w:rsid w:val="00CB4F52"/>
    <w:rsid w:val="00CB53ED"/>
    <w:rsid w:val="00CB5807"/>
    <w:rsid w:val="00CB62BB"/>
    <w:rsid w:val="00CB732F"/>
    <w:rsid w:val="00CC027D"/>
    <w:rsid w:val="00CC0939"/>
    <w:rsid w:val="00CC1161"/>
    <w:rsid w:val="00CC11CE"/>
    <w:rsid w:val="00CC1641"/>
    <w:rsid w:val="00CC2E8A"/>
    <w:rsid w:val="00CC3591"/>
    <w:rsid w:val="00CC4677"/>
    <w:rsid w:val="00CC4CBF"/>
    <w:rsid w:val="00CC58B3"/>
    <w:rsid w:val="00CC6096"/>
    <w:rsid w:val="00CC6CD4"/>
    <w:rsid w:val="00CC6FD7"/>
    <w:rsid w:val="00CC7F46"/>
    <w:rsid w:val="00CD208F"/>
    <w:rsid w:val="00CD31D3"/>
    <w:rsid w:val="00CD3A14"/>
    <w:rsid w:val="00CD3EF1"/>
    <w:rsid w:val="00CD414B"/>
    <w:rsid w:val="00CD6060"/>
    <w:rsid w:val="00CD6106"/>
    <w:rsid w:val="00CD68B3"/>
    <w:rsid w:val="00CD748C"/>
    <w:rsid w:val="00CD74D6"/>
    <w:rsid w:val="00CD77D0"/>
    <w:rsid w:val="00CE01F7"/>
    <w:rsid w:val="00CE0DE3"/>
    <w:rsid w:val="00CE2222"/>
    <w:rsid w:val="00CE22DE"/>
    <w:rsid w:val="00CE24BE"/>
    <w:rsid w:val="00CE2C82"/>
    <w:rsid w:val="00CE3F76"/>
    <w:rsid w:val="00CE450F"/>
    <w:rsid w:val="00CE4992"/>
    <w:rsid w:val="00CE4C7C"/>
    <w:rsid w:val="00CE4DFD"/>
    <w:rsid w:val="00CE5389"/>
    <w:rsid w:val="00CE66D4"/>
    <w:rsid w:val="00CE74F1"/>
    <w:rsid w:val="00CE7B65"/>
    <w:rsid w:val="00CF0C96"/>
    <w:rsid w:val="00CF16ED"/>
    <w:rsid w:val="00CF2036"/>
    <w:rsid w:val="00CF2291"/>
    <w:rsid w:val="00CF2818"/>
    <w:rsid w:val="00CF292E"/>
    <w:rsid w:val="00CF322D"/>
    <w:rsid w:val="00CF32DA"/>
    <w:rsid w:val="00CF42A1"/>
    <w:rsid w:val="00CF4525"/>
    <w:rsid w:val="00CF4957"/>
    <w:rsid w:val="00CF4D2F"/>
    <w:rsid w:val="00CF554A"/>
    <w:rsid w:val="00CF590C"/>
    <w:rsid w:val="00CF5C65"/>
    <w:rsid w:val="00CF60BB"/>
    <w:rsid w:val="00CF7069"/>
    <w:rsid w:val="00CF7CC0"/>
    <w:rsid w:val="00D0003D"/>
    <w:rsid w:val="00D00105"/>
    <w:rsid w:val="00D009C8"/>
    <w:rsid w:val="00D00B1D"/>
    <w:rsid w:val="00D00C81"/>
    <w:rsid w:val="00D01337"/>
    <w:rsid w:val="00D0138C"/>
    <w:rsid w:val="00D01920"/>
    <w:rsid w:val="00D02552"/>
    <w:rsid w:val="00D03A02"/>
    <w:rsid w:val="00D04F6A"/>
    <w:rsid w:val="00D050D9"/>
    <w:rsid w:val="00D055B5"/>
    <w:rsid w:val="00D05866"/>
    <w:rsid w:val="00D05EAB"/>
    <w:rsid w:val="00D064DC"/>
    <w:rsid w:val="00D06F90"/>
    <w:rsid w:val="00D070A9"/>
    <w:rsid w:val="00D077DD"/>
    <w:rsid w:val="00D10237"/>
    <w:rsid w:val="00D102B9"/>
    <w:rsid w:val="00D10517"/>
    <w:rsid w:val="00D1143C"/>
    <w:rsid w:val="00D114B9"/>
    <w:rsid w:val="00D1157C"/>
    <w:rsid w:val="00D12BA5"/>
    <w:rsid w:val="00D137C4"/>
    <w:rsid w:val="00D139EB"/>
    <w:rsid w:val="00D14985"/>
    <w:rsid w:val="00D1502C"/>
    <w:rsid w:val="00D1561E"/>
    <w:rsid w:val="00D16018"/>
    <w:rsid w:val="00D16CF4"/>
    <w:rsid w:val="00D16DF3"/>
    <w:rsid w:val="00D17A90"/>
    <w:rsid w:val="00D17BE8"/>
    <w:rsid w:val="00D17D4B"/>
    <w:rsid w:val="00D17F87"/>
    <w:rsid w:val="00D21565"/>
    <w:rsid w:val="00D218B4"/>
    <w:rsid w:val="00D219A7"/>
    <w:rsid w:val="00D21A89"/>
    <w:rsid w:val="00D2206E"/>
    <w:rsid w:val="00D2289C"/>
    <w:rsid w:val="00D237A2"/>
    <w:rsid w:val="00D23FE0"/>
    <w:rsid w:val="00D24FFD"/>
    <w:rsid w:val="00D251BE"/>
    <w:rsid w:val="00D25EE1"/>
    <w:rsid w:val="00D27361"/>
    <w:rsid w:val="00D27FF5"/>
    <w:rsid w:val="00D3073C"/>
    <w:rsid w:val="00D30A9A"/>
    <w:rsid w:val="00D31B38"/>
    <w:rsid w:val="00D31FE6"/>
    <w:rsid w:val="00D32426"/>
    <w:rsid w:val="00D32432"/>
    <w:rsid w:val="00D32522"/>
    <w:rsid w:val="00D32C63"/>
    <w:rsid w:val="00D33326"/>
    <w:rsid w:val="00D33967"/>
    <w:rsid w:val="00D33C86"/>
    <w:rsid w:val="00D33E6D"/>
    <w:rsid w:val="00D35663"/>
    <w:rsid w:val="00D3611D"/>
    <w:rsid w:val="00D362A9"/>
    <w:rsid w:val="00D36B32"/>
    <w:rsid w:val="00D36E78"/>
    <w:rsid w:val="00D37FDF"/>
    <w:rsid w:val="00D40F3D"/>
    <w:rsid w:val="00D417FB"/>
    <w:rsid w:val="00D437A7"/>
    <w:rsid w:val="00D43C74"/>
    <w:rsid w:val="00D444AC"/>
    <w:rsid w:val="00D44DFE"/>
    <w:rsid w:val="00D4537C"/>
    <w:rsid w:val="00D46432"/>
    <w:rsid w:val="00D46458"/>
    <w:rsid w:val="00D464D0"/>
    <w:rsid w:val="00D46E0D"/>
    <w:rsid w:val="00D4756D"/>
    <w:rsid w:val="00D5047C"/>
    <w:rsid w:val="00D525D2"/>
    <w:rsid w:val="00D5260B"/>
    <w:rsid w:val="00D52AFF"/>
    <w:rsid w:val="00D52BE7"/>
    <w:rsid w:val="00D52F9D"/>
    <w:rsid w:val="00D5305B"/>
    <w:rsid w:val="00D5353B"/>
    <w:rsid w:val="00D53868"/>
    <w:rsid w:val="00D5472F"/>
    <w:rsid w:val="00D551FB"/>
    <w:rsid w:val="00D56467"/>
    <w:rsid w:val="00D570FF"/>
    <w:rsid w:val="00D57F72"/>
    <w:rsid w:val="00D60B97"/>
    <w:rsid w:val="00D60CD7"/>
    <w:rsid w:val="00D616B2"/>
    <w:rsid w:val="00D6272B"/>
    <w:rsid w:val="00D627E0"/>
    <w:rsid w:val="00D62A7B"/>
    <w:rsid w:val="00D642B3"/>
    <w:rsid w:val="00D644C8"/>
    <w:rsid w:val="00D647BF"/>
    <w:rsid w:val="00D64AAD"/>
    <w:rsid w:val="00D65E10"/>
    <w:rsid w:val="00D674E7"/>
    <w:rsid w:val="00D67D4A"/>
    <w:rsid w:val="00D67E78"/>
    <w:rsid w:val="00D67EEC"/>
    <w:rsid w:val="00D70235"/>
    <w:rsid w:val="00D728A9"/>
    <w:rsid w:val="00D73F50"/>
    <w:rsid w:val="00D73F8C"/>
    <w:rsid w:val="00D753FC"/>
    <w:rsid w:val="00D76771"/>
    <w:rsid w:val="00D76849"/>
    <w:rsid w:val="00D76A25"/>
    <w:rsid w:val="00D77F5C"/>
    <w:rsid w:val="00D80F72"/>
    <w:rsid w:val="00D81058"/>
    <w:rsid w:val="00D81E05"/>
    <w:rsid w:val="00D82CEF"/>
    <w:rsid w:val="00D835BA"/>
    <w:rsid w:val="00D835CB"/>
    <w:rsid w:val="00D83D2F"/>
    <w:rsid w:val="00D8412C"/>
    <w:rsid w:val="00D84AAA"/>
    <w:rsid w:val="00D85CFD"/>
    <w:rsid w:val="00D85FD5"/>
    <w:rsid w:val="00D860CF"/>
    <w:rsid w:val="00D863B2"/>
    <w:rsid w:val="00D8665F"/>
    <w:rsid w:val="00D86B91"/>
    <w:rsid w:val="00D86CD2"/>
    <w:rsid w:val="00D877C9"/>
    <w:rsid w:val="00D87C13"/>
    <w:rsid w:val="00D90ACC"/>
    <w:rsid w:val="00D913EF"/>
    <w:rsid w:val="00D91411"/>
    <w:rsid w:val="00D92628"/>
    <w:rsid w:val="00D93835"/>
    <w:rsid w:val="00D9395D"/>
    <w:rsid w:val="00D9428D"/>
    <w:rsid w:val="00D94CFE"/>
    <w:rsid w:val="00D9594F"/>
    <w:rsid w:val="00D95C0B"/>
    <w:rsid w:val="00D95EAD"/>
    <w:rsid w:val="00D96665"/>
    <w:rsid w:val="00D9681D"/>
    <w:rsid w:val="00D96EC8"/>
    <w:rsid w:val="00D9731C"/>
    <w:rsid w:val="00DA02A7"/>
    <w:rsid w:val="00DA0814"/>
    <w:rsid w:val="00DA08A7"/>
    <w:rsid w:val="00DA1391"/>
    <w:rsid w:val="00DA14AF"/>
    <w:rsid w:val="00DA1D2A"/>
    <w:rsid w:val="00DA1D5C"/>
    <w:rsid w:val="00DA1D89"/>
    <w:rsid w:val="00DA2224"/>
    <w:rsid w:val="00DA2651"/>
    <w:rsid w:val="00DA2F7C"/>
    <w:rsid w:val="00DA32D5"/>
    <w:rsid w:val="00DA3DA9"/>
    <w:rsid w:val="00DA3DF7"/>
    <w:rsid w:val="00DA3F19"/>
    <w:rsid w:val="00DA43E1"/>
    <w:rsid w:val="00DA69F4"/>
    <w:rsid w:val="00DA7167"/>
    <w:rsid w:val="00DA7F2C"/>
    <w:rsid w:val="00DA7F76"/>
    <w:rsid w:val="00DA7FDB"/>
    <w:rsid w:val="00DB1237"/>
    <w:rsid w:val="00DB1279"/>
    <w:rsid w:val="00DB1A2B"/>
    <w:rsid w:val="00DB1E4B"/>
    <w:rsid w:val="00DB1E50"/>
    <w:rsid w:val="00DB2853"/>
    <w:rsid w:val="00DB351E"/>
    <w:rsid w:val="00DB35CE"/>
    <w:rsid w:val="00DB43AB"/>
    <w:rsid w:val="00DB5476"/>
    <w:rsid w:val="00DB5765"/>
    <w:rsid w:val="00DB6652"/>
    <w:rsid w:val="00DB6924"/>
    <w:rsid w:val="00DB6C04"/>
    <w:rsid w:val="00DB7ECE"/>
    <w:rsid w:val="00DC0068"/>
    <w:rsid w:val="00DC05C1"/>
    <w:rsid w:val="00DC0AA4"/>
    <w:rsid w:val="00DC1274"/>
    <w:rsid w:val="00DC3BA6"/>
    <w:rsid w:val="00DC3C71"/>
    <w:rsid w:val="00DC489D"/>
    <w:rsid w:val="00DC4B3D"/>
    <w:rsid w:val="00DC5FD2"/>
    <w:rsid w:val="00DC603E"/>
    <w:rsid w:val="00DC613C"/>
    <w:rsid w:val="00DC61DE"/>
    <w:rsid w:val="00DC6A96"/>
    <w:rsid w:val="00DC6CEF"/>
    <w:rsid w:val="00DC707D"/>
    <w:rsid w:val="00DC7294"/>
    <w:rsid w:val="00DC7851"/>
    <w:rsid w:val="00DC798E"/>
    <w:rsid w:val="00DD0924"/>
    <w:rsid w:val="00DD107D"/>
    <w:rsid w:val="00DD1385"/>
    <w:rsid w:val="00DD1BDF"/>
    <w:rsid w:val="00DD1F88"/>
    <w:rsid w:val="00DD377D"/>
    <w:rsid w:val="00DD3952"/>
    <w:rsid w:val="00DD4712"/>
    <w:rsid w:val="00DD4836"/>
    <w:rsid w:val="00DD6041"/>
    <w:rsid w:val="00DD68D5"/>
    <w:rsid w:val="00DD6B5A"/>
    <w:rsid w:val="00DD7086"/>
    <w:rsid w:val="00DE0807"/>
    <w:rsid w:val="00DE0A5F"/>
    <w:rsid w:val="00DE0E18"/>
    <w:rsid w:val="00DE0EE8"/>
    <w:rsid w:val="00DE0F4B"/>
    <w:rsid w:val="00DE1CA1"/>
    <w:rsid w:val="00DE1E5B"/>
    <w:rsid w:val="00DE2148"/>
    <w:rsid w:val="00DE2181"/>
    <w:rsid w:val="00DE2867"/>
    <w:rsid w:val="00DE2895"/>
    <w:rsid w:val="00DE495B"/>
    <w:rsid w:val="00DE49E6"/>
    <w:rsid w:val="00DE4B5D"/>
    <w:rsid w:val="00DE4B6D"/>
    <w:rsid w:val="00DE4BA1"/>
    <w:rsid w:val="00DE583F"/>
    <w:rsid w:val="00DE58D8"/>
    <w:rsid w:val="00DE5E38"/>
    <w:rsid w:val="00DE6DFF"/>
    <w:rsid w:val="00DE7836"/>
    <w:rsid w:val="00DE7F48"/>
    <w:rsid w:val="00DF009E"/>
    <w:rsid w:val="00DF015B"/>
    <w:rsid w:val="00DF0651"/>
    <w:rsid w:val="00DF0F76"/>
    <w:rsid w:val="00DF1547"/>
    <w:rsid w:val="00DF1631"/>
    <w:rsid w:val="00DF1706"/>
    <w:rsid w:val="00DF19C9"/>
    <w:rsid w:val="00DF218B"/>
    <w:rsid w:val="00DF2CC3"/>
    <w:rsid w:val="00DF2E65"/>
    <w:rsid w:val="00DF35FF"/>
    <w:rsid w:val="00DF37B5"/>
    <w:rsid w:val="00DF3D48"/>
    <w:rsid w:val="00DF47A0"/>
    <w:rsid w:val="00DF4CA1"/>
    <w:rsid w:val="00DF50AD"/>
    <w:rsid w:val="00DF545F"/>
    <w:rsid w:val="00DF5DB0"/>
    <w:rsid w:val="00DF6679"/>
    <w:rsid w:val="00DF72C8"/>
    <w:rsid w:val="00DF7F3A"/>
    <w:rsid w:val="00E00F5B"/>
    <w:rsid w:val="00E010F9"/>
    <w:rsid w:val="00E0118E"/>
    <w:rsid w:val="00E016EE"/>
    <w:rsid w:val="00E01B6F"/>
    <w:rsid w:val="00E01FDB"/>
    <w:rsid w:val="00E023CF"/>
    <w:rsid w:val="00E02CBC"/>
    <w:rsid w:val="00E0321B"/>
    <w:rsid w:val="00E03931"/>
    <w:rsid w:val="00E03CAD"/>
    <w:rsid w:val="00E0437E"/>
    <w:rsid w:val="00E043EA"/>
    <w:rsid w:val="00E04686"/>
    <w:rsid w:val="00E04EF4"/>
    <w:rsid w:val="00E06BAB"/>
    <w:rsid w:val="00E07480"/>
    <w:rsid w:val="00E07942"/>
    <w:rsid w:val="00E07DC7"/>
    <w:rsid w:val="00E07E3E"/>
    <w:rsid w:val="00E10225"/>
    <w:rsid w:val="00E10BE0"/>
    <w:rsid w:val="00E1185D"/>
    <w:rsid w:val="00E13C40"/>
    <w:rsid w:val="00E13E46"/>
    <w:rsid w:val="00E1489C"/>
    <w:rsid w:val="00E1573E"/>
    <w:rsid w:val="00E1669E"/>
    <w:rsid w:val="00E16807"/>
    <w:rsid w:val="00E16BE1"/>
    <w:rsid w:val="00E2014F"/>
    <w:rsid w:val="00E201E7"/>
    <w:rsid w:val="00E2119E"/>
    <w:rsid w:val="00E213B8"/>
    <w:rsid w:val="00E21BD3"/>
    <w:rsid w:val="00E220AF"/>
    <w:rsid w:val="00E22908"/>
    <w:rsid w:val="00E22F60"/>
    <w:rsid w:val="00E23D98"/>
    <w:rsid w:val="00E24416"/>
    <w:rsid w:val="00E252CB"/>
    <w:rsid w:val="00E254EC"/>
    <w:rsid w:val="00E255EF"/>
    <w:rsid w:val="00E256C3"/>
    <w:rsid w:val="00E25C50"/>
    <w:rsid w:val="00E2619B"/>
    <w:rsid w:val="00E262F2"/>
    <w:rsid w:val="00E269E7"/>
    <w:rsid w:val="00E27AD4"/>
    <w:rsid w:val="00E27DAA"/>
    <w:rsid w:val="00E27DD2"/>
    <w:rsid w:val="00E30AFE"/>
    <w:rsid w:val="00E31447"/>
    <w:rsid w:val="00E32742"/>
    <w:rsid w:val="00E32C38"/>
    <w:rsid w:val="00E32F7D"/>
    <w:rsid w:val="00E33D2E"/>
    <w:rsid w:val="00E33F4A"/>
    <w:rsid w:val="00E342B8"/>
    <w:rsid w:val="00E34808"/>
    <w:rsid w:val="00E34F20"/>
    <w:rsid w:val="00E35096"/>
    <w:rsid w:val="00E35115"/>
    <w:rsid w:val="00E351E4"/>
    <w:rsid w:val="00E35271"/>
    <w:rsid w:val="00E375F0"/>
    <w:rsid w:val="00E37659"/>
    <w:rsid w:val="00E37D73"/>
    <w:rsid w:val="00E40399"/>
    <w:rsid w:val="00E415C3"/>
    <w:rsid w:val="00E421A1"/>
    <w:rsid w:val="00E4244C"/>
    <w:rsid w:val="00E43CAF"/>
    <w:rsid w:val="00E44635"/>
    <w:rsid w:val="00E44690"/>
    <w:rsid w:val="00E45246"/>
    <w:rsid w:val="00E4529F"/>
    <w:rsid w:val="00E45D22"/>
    <w:rsid w:val="00E45EC9"/>
    <w:rsid w:val="00E46ACF"/>
    <w:rsid w:val="00E46CE3"/>
    <w:rsid w:val="00E47A9C"/>
    <w:rsid w:val="00E50118"/>
    <w:rsid w:val="00E51AAC"/>
    <w:rsid w:val="00E52F2B"/>
    <w:rsid w:val="00E53993"/>
    <w:rsid w:val="00E540A3"/>
    <w:rsid w:val="00E549BD"/>
    <w:rsid w:val="00E54E1C"/>
    <w:rsid w:val="00E550F7"/>
    <w:rsid w:val="00E559DA"/>
    <w:rsid w:val="00E55D26"/>
    <w:rsid w:val="00E56923"/>
    <w:rsid w:val="00E56960"/>
    <w:rsid w:val="00E5730A"/>
    <w:rsid w:val="00E57469"/>
    <w:rsid w:val="00E57597"/>
    <w:rsid w:val="00E57AFB"/>
    <w:rsid w:val="00E61307"/>
    <w:rsid w:val="00E61592"/>
    <w:rsid w:val="00E61DEE"/>
    <w:rsid w:val="00E62AC6"/>
    <w:rsid w:val="00E63A7D"/>
    <w:rsid w:val="00E64C89"/>
    <w:rsid w:val="00E650CC"/>
    <w:rsid w:val="00E653BA"/>
    <w:rsid w:val="00E65A61"/>
    <w:rsid w:val="00E66F9B"/>
    <w:rsid w:val="00E67398"/>
    <w:rsid w:val="00E705D2"/>
    <w:rsid w:val="00E708FB"/>
    <w:rsid w:val="00E70AC3"/>
    <w:rsid w:val="00E70D57"/>
    <w:rsid w:val="00E70DA7"/>
    <w:rsid w:val="00E7158D"/>
    <w:rsid w:val="00E7178E"/>
    <w:rsid w:val="00E71861"/>
    <w:rsid w:val="00E71A34"/>
    <w:rsid w:val="00E74AE9"/>
    <w:rsid w:val="00E74D8B"/>
    <w:rsid w:val="00E74F14"/>
    <w:rsid w:val="00E761D2"/>
    <w:rsid w:val="00E76201"/>
    <w:rsid w:val="00E774B2"/>
    <w:rsid w:val="00E774F4"/>
    <w:rsid w:val="00E80D3C"/>
    <w:rsid w:val="00E81F4C"/>
    <w:rsid w:val="00E824D6"/>
    <w:rsid w:val="00E8497D"/>
    <w:rsid w:val="00E8576B"/>
    <w:rsid w:val="00E87242"/>
    <w:rsid w:val="00E874C3"/>
    <w:rsid w:val="00E8752D"/>
    <w:rsid w:val="00E87C5A"/>
    <w:rsid w:val="00E87D5F"/>
    <w:rsid w:val="00E90CF8"/>
    <w:rsid w:val="00E91520"/>
    <w:rsid w:val="00E91931"/>
    <w:rsid w:val="00E9217E"/>
    <w:rsid w:val="00E92C24"/>
    <w:rsid w:val="00E9366E"/>
    <w:rsid w:val="00E93917"/>
    <w:rsid w:val="00E94E99"/>
    <w:rsid w:val="00E95175"/>
    <w:rsid w:val="00E951D9"/>
    <w:rsid w:val="00E95BED"/>
    <w:rsid w:val="00E96379"/>
    <w:rsid w:val="00E96ADF"/>
    <w:rsid w:val="00E976FC"/>
    <w:rsid w:val="00EA076E"/>
    <w:rsid w:val="00EA10F9"/>
    <w:rsid w:val="00EA138F"/>
    <w:rsid w:val="00EA1A15"/>
    <w:rsid w:val="00EA1B43"/>
    <w:rsid w:val="00EA1D91"/>
    <w:rsid w:val="00EA26B5"/>
    <w:rsid w:val="00EA30CA"/>
    <w:rsid w:val="00EA5038"/>
    <w:rsid w:val="00EA628A"/>
    <w:rsid w:val="00EA68D3"/>
    <w:rsid w:val="00EA74C0"/>
    <w:rsid w:val="00EA75BB"/>
    <w:rsid w:val="00EA760A"/>
    <w:rsid w:val="00EA773B"/>
    <w:rsid w:val="00EA7E67"/>
    <w:rsid w:val="00EB0692"/>
    <w:rsid w:val="00EB0E89"/>
    <w:rsid w:val="00EB167D"/>
    <w:rsid w:val="00EB2D4C"/>
    <w:rsid w:val="00EB2E3A"/>
    <w:rsid w:val="00EB41C3"/>
    <w:rsid w:val="00EB458D"/>
    <w:rsid w:val="00EB50CB"/>
    <w:rsid w:val="00EB5106"/>
    <w:rsid w:val="00EB5558"/>
    <w:rsid w:val="00EB5838"/>
    <w:rsid w:val="00EB5B12"/>
    <w:rsid w:val="00EB6A40"/>
    <w:rsid w:val="00EB6C83"/>
    <w:rsid w:val="00EB6D26"/>
    <w:rsid w:val="00EB7127"/>
    <w:rsid w:val="00EC130C"/>
    <w:rsid w:val="00EC1398"/>
    <w:rsid w:val="00EC1D4E"/>
    <w:rsid w:val="00EC1D83"/>
    <w:rsid w:val="00EC2D0C"/>
    <w:rsid w:val="00EC3562"/>
    <w:rsid w:val="00EC3790"/>
    <w:rsid w:val="00EC445A"/>
    <w:rsid w:val="00EC4636"/>
    <w:rsid w:val="00EC49AE"/>
    <w:rsid w:val="00EC4E90"/>
    <w:rsid w:val="00EC53C1"/>
    <w:rsid w:val="00EC6345"/>
    <w:rsid w:val="00EC69DE"/>
    <w:rsid w:val="00EC6CD1"/>
    <w:rsid w:val="00EC7908"/>
    <w:rsid w:val="00ED0CD7"/>
    <w:rsid w:val="00ED0D5D"/>
    <w:rsid w:val="00ED321F"/>
    <w:rsid w:val="00ED3EAB"/>
    <w:rsid w:val="00ED3F13"/>
    <w:rsid w:val="00ED429F"/>
    <w:rsid w:val="00ED54B5"/>
    <w:rsid w:val="00ED5F8F"/>
    <w:rsid w:val="00ED6943"/>
    <w:rsid w:val="00ED6D97"/>
    <w:rsid w:val="00ED7223"/>
    <w:rsid w:val="00ED7794"/>
    <w:rsid w:val="00ED7D9C"/>
    <w:rsid w:val="00ED7F8C"/>
    <w:rsid w:val="00EE05EF"/>
    <w:rsid w:val="00EE14BF"/>
    <w:rsid w:val="00EE232C"/>
    <w:rsid w:val="00EE3123"/>
    <w:rsid w:val="00EE3839"/>
    <w:rsid w:val="00EE3C7C"/>
    <w:rsid w:val="00EE3F4D"/>
    <w:rsid w:val="00EE486F"/>
    <w:rsid w:val="00EE5067"/>
    <w:rsid w:val="00EE58F8"/>
    <w:rsid w:val="00EE608B"/>
    <w:rsid w:val="00EE68A3"/>
    <w:rsid w:val="00EE71DB"/>
    <w:rsid w:val="00EF059A"/>
    <w:rsid w:val="00EF0839"/>
    <w:rsid w:val="00EF08FF"/>
    <w:rsid w:val="00EF2974"/>
    <w:rsid w:val="00EF297F"/>
    <w:rsid w:val="00EF2BBC"/>
    <w:rsid w:val="00EF2EA9"/>
    <w:rsid w:val="00EF34D4"/>
    <w:rsid w:val="00EF3A17"/>
    <w:rsid w:val="00EF3B92"/>
    <w:rsid w:val="00EF4E15"/>
    <w:rsid w:val="00EF5D47"/>
    <w:rsid w:val="00EF6D6B"/>
    <w:rsid w:val="00EF6DA1"/>
    <w:rsid w:val="00EF70F6"/>
    <w:rsid w:val="00F00139"/>
    <w:rsid w:val="00F00A18"/>
    <w:rsid w:val="00F0146A"/>
    <w:rsid w:val="00F01578"/>
    <w:rsid w:val="00F02098"/>
    <w:rsid w:val="00F02AA4"/>
    <w:rsid w:val="00F0332E"/>
    <w:rsid w:val="00F033CD"/>
    <w:rsid w:val="00F040E1"/>
    <w:rsid w:val="00F055C8"/>
    <w:rsid w:val="00F0659D"/>
    <w:rsid w:val="00F06C02"/>
    <w:rsid w:val="00F070D4"/>
    <w:rsid w:val="00F07208"/>
    <w:rsid w:val="00F0769E"/>
    <w:rsid w:val="00F07ABA"/>
    <w:rsid w:val="00F07E84"/>
    <w:rsid w:val="00F10A19"/>
    <w:rsid w:val="00F10EFD"/>
    <w:rsid w:val="00F11BF3"/>
    <w:rsid w:val="00F11E28"/>
    <w:rsid w:val="00F12024"/>
    <w:rsid w:val="00F1230F"/>
    <w:rsid w:val="00F12C86"/>
    <w:rsid w:val="00F13241"/>
    <w:rsid w:val="00F139A3"/>
    <w:rsid w:val="00F14473"/>
    <w:rsid w:val="00F14A4C"/>
    <w:rsid w:val="00F14B21"/>
    <w:rsid w:val="00F16145"/>
    <w:rsid w:val="00F1738C"/>
    <w:rsid w:val="00F17704"/>
    <w:rsid w:val="00F17BC6"/>
    <w:rsid w:val="00F17FFB"/>
    <w:rsid w:val="00F200D8"/>
    <w:rsid w:val="00F20B73"/>
    <w:rsid w:val="00F2106A"/>
    <w:rsid w:val="00F211A9"/>
    <w:rsid w:val="00F21354"/>
    <w:rsid w:val="00F215AF"/>
    <w:rsid w:val="00F216BC"/>
    <w:rsid w:val="00F22914"/>
    <w:rsid w:val="00F236AF"/>
    <w:rsid w:val="00F23759"/>
    <w:rsid w:val="00F23CB8"/>
    <w:rsid w:val="00F2476F"/>
    <w:rsid w:val="00F24ABC"/>
    <w:rsid w:val="00F24CBC"/>
    <w:rsid w:val="00F2568F"/>
    <w:rsid w:val="00F25B7E"/>
    <w:rsid w:val="00F25DDA"/>
    <w:rsid w:val="00F260D4"/>
    <w:rsid w:val="00F27A41"/>
    <w:rsid w:val="00F300F9"/>
    <w:rsid w:val="00F313C3"/>
    <w:rsid w:val="00F31685"/>
    <w:rsid w:val="00F319E7"/>
    <w:rsid w:val="00F32CF2"/>
    <w:rsid w:val="00F33057"/>
    <w:rsid w:val="00F3352F"/>
    <w:rsid w:val="00F33BB2"/>
    <w:rsid w:val="00F33DBD"/>
    <w:rsid w:val="00F35859"/>
    <w:rsid w:val="00F35990"/>
    <w:rsid w:val="00F35AAD"/>
    <w:rsid w:val="00F36387"/>
    <w:rsid w:val="00F366BC"/>
    <w:rsid w:val="00F377CF"/>
    <w:rsid w:val="00F37A12"/>
    <w:rsid w:val="00F37DEC"/>
    <w:rsid w:val="00F412FB"/>
    <w:rsid w:val="00F41AF7"/>
    <w:rsid w:val="00F428A5"/>
    <w:rsid w:val="00F42A44"/>
    <w:rsid w:val="00F42C17"/>
    <w:rsid w:val="00F42EB6"/>
    <w:rsid w:val="00F43865"/>
    <w:rsid w:val="00F4386A"/>
    <w:rsid w:val="00F43894"/>
    <w:rsid w:val="00F43DA4"/>
    <w:rsid w:val="00F445B2"/>
    <w:rsid w:val="00F44A5D"/>
    <w:rsid w:val="00F44AD0"/>
    <w:rsid w:val="00F46953"/>
    <w:rsid w:val="00F46F94"/>
    <w:rsid w:val="00F47B1E"/>
    <w:rsid w:val="00F50DB4"/>
    <w:rsid w:val="00F514B3"/>
    <w:rsid w:val="00F52223"/>
    <w:rsid w:val="00F52F13"/>
    <w:rsid w:val="00F53055"/>
    <w:rsid w:val="00F54725"/>
    <w:rsid w:val="00F54D31"/>
    <w:rsid w:val="00F55EEB"/>
    <w:rsid w:val="00F56023"/>
    <w:rsid w:val="00F57A13"/>
    <w:rsid w:val="00F57ED9"/>
    <w:rsid w:val="00F611CD"/>
    <w:rsid w:val="00F616E9"/>
    <w:rsid w:val="00F61BA9"/>
    <w:rsid w:val="00F624E0"/>
    <w:rsid w:val="00F6482A"/>
    <w:rsid w:val="00F64CCF"/>
    <w:rsid w:val="00F64CE0"/>
    <w:rsid w:val="00F66ADA"/>
    <w:rsid w:val="00F67ADF"/>
    <w:rsid w:val="00F67B1B"/>
    <w:rsid w:val="00F67D1E"/>
    <w:rsid w:val="00F70F19"/>
    <w:rsid w:val="00F71184"/>
    <w:rsid w:val="00F712EC"/>
    <w:rsid w:val="00F72C47"/>
    <w:rsid w:val="00F73374"/>
    <w:rsid w:val="00F73D97"/>
    <w:rsid w:val="00F74049"/>
    <w:rsid w:val="00F7468C"/>
    <w:rsid w:val="00F75198"/>
    <w:rsid w:val="00F7558C"/>
    <w:rsid w:val="00F76017"/>
    <w:rsid w:val="00F76C29"/>
    <w:rsid w:val="00F77158"/>
    <w:rsid w:val="00F773E1"/>
    <w:rsid w:val="00F80697"/>
    <w:rsid w:val="00F816AD"/>
    <w:rsid w:val="00F819AB"/>
    <w:rsid w:val="00F81BEF"/>
    <w:rsid w:val="00F8290A"/>
    <w:rsid w:val="00F82A59"/>
    <w:rsid w:val="00F84071"/>
    <w:rsid w:val="00F844D7"/>
    <w:rsid w:val="00F852E8"/>
    <w:rsid w:val="00F857D6"/>
    <w:rsid w:val="00F86B24"/>
    <w:rsid w:val="00F87020"/>
    <w:rsid w:val="00F8720B"/>
    <w:rsid w:val="00F8758F"/>
    <w:rsid w:val="00F8765F"/>
    <w:rsid w:val="00F87B86"/>
    <w:rsid w:val="00F90F7E"/>
    <w:rsid w:val="00F912AB"/>
    <w:rsid w:val="00F91D7F"/>
    <w:rsid w:val="00F92064"/>
    <w:rsid w:val="00F924A0"/>
    <w:rsid w:val="00F93196"/>
    <w:rsid w:val="00F93949"/>
    <w:rsid w:val="00F9446E"/>
    <w:rsid w:val="00F952AC"/>
    <w:rsid w:val="00F95C32"/>
    <w:rsid w:val="00F96BAB"/>
    <w:rsid w:val="00F96C11"/>
    <w:rsid w:val="00F97900"/>
    <w:rsid w:val="00F97AC9"/>
    <w:rsid w:val="00F97BEA"/>
    <w:rsid w:val="00FA0329"/>
    <w:rsid w:val="00FA15C6"/>
    <w:rsid w:val="00FA1E85"/>
    <w:rsid w:val="00FA1EDA"/>
    <w:rsid w:val="00FA2907"/>
    <w:rsid w:val="00FA2AF7"/>
    <w:rsid w:val="00FA36A5"/>
    <w:rsid w:val="00FA382F"/>
    <w:rsid w:val="00FA4FEE"/>
    <w:rsid w:val="00FA5E84"/>
    <w:rsid w:val="00FA7149"/>
    <w:rsid w:val="00FA74A1"/>
    <w:rsid w:val="00FA76E1"/>
    <w:rsid w:val="00FA7733"/>
    <w:rsid w:val="00FA7B6D"/>
    <w:rsid w:val="00FB0233"/>
    <w:rsid w:val="00FB1238"/>
    <w:rsid w:val="00FB125C"/>
    <w:rsid w:val="00FB17FD"/>
    <w:rsid w:val="00FB2A1A"/>
    <w:rsid w:val="00FB2A5F"/>
    <w:rsid w:val="00FB2FCD"/>
    <w:rsid w:val="00FB36B2"/>
    <w:rsid w:val="00FB3DA6"/>
    <w:rsid w:val="00FB3E3F"/>
    <w:rsid w:val="00FB40EB"/>
    <w:rsid w:val="00FB4D4F"/>
    <w:rsid w:val="00FB4F85"/>
    <w:rsid w:val="00FB581A"/>
    <w:rsid w:val="00FB6225"/>
    <w:rsid w:val="00FB66E6"/>
    <w:rsid w:val="00FB66F3"/>
    <w:rsid w:val="00FB6A98"/>
    <w:rsid w:val="00FB6CF0"/>
    <w:rsid w:val="00FB7B9A"/>
    <w:rsid w:val="00FB7C9F"/>
    <w:rsid w:val="00FB7DC0"/>
    <w:rsid w:val="00FC0479"/>
    <w:rsid w:val="00FC05AE"/>
    <w:rsid w:val="00FC150B"/>
    <w:rsid w:val="00FC16BA"/>
    <w:rsid w:val="00FC2818"/>
    <w:rsid w:val="00FC2BDC"/>
    <w:rsid w:val="00FC3078"/>
    <w:rsid w:val="00FC3B6C"/>
    <w:rsid w:val="00FC440A"/>
    <w:rsid w:val="00FC489A"/>
    <w:rsid w:val="00FC55C0"/>
    <w:rsid w:val="00FC5CBC"/>
    <w:rsid w:val="00FC6C9C"/>
    <w:rsid w:val="00FC7458"/>
    <w:rsid w:val="00FC7B36"/>
    <w:rsid w:val="00FD0990"/>
    <w:rsid w:val="00FD09C4"/>
    <w:rsid w:val="00FD12B6"/>
    <w:rsid w:val="00FD1597"/>
    <w:rsid w:val="00FD1AC7"/>
    <w:rsid w:val="00FD1F96"/>
    <w:rsid w:val="00FD2609"/>
    <w:rsid w:val="00FD2D31"/>
    <w:rsid w:val="00FD305C"/>
    <w:rsid w:val="00FD3FF5"/>
    <w:rsid w:val="00FD42E0"/>
    <w:rsid w:val="00FD499C"/>
    <w:rsid w:val="00FD4CB6"/>
    <w:rsid w:val="00FD66A6"/>
    <w:rsid w:val="00FD736B"/>
    <w:rsid w:val="00FD7E59"/>
    <w:rsid w:val="00FE0161"/>
    <w:rsid w:val="00FE064E"/>
    <w:rsid w:val="00FE068A"/>
    <w:rsid w:val="00FE0720"/>
    <w:rsid w:val="00FE0A82"/>
    <w:rsid w:val="00FE0E45"/>
    <w:rsid w:val="00FE0E7C"/>
    <w:rsid w:val="00FE112B"/>
    <w:rsid w:val="00FE1848"/>
    <w:rsid w:val="00FE19ED"/>
    <w:rsid w:val="00FE28B9"/>
    <w:rsid w:val="00FE2926"/>
    <w:rsid w:val="00FE2E84"/>
    <w:rsid w:val="00FE3356"/>
    <w:rsid w:val="00FE3920"/>
    <w:rsid w:val="00FE39DB"/>
    <w:rsid w:val="00FE4221"/>
    <w:rsid w:val="00FE4615"/>
    <w:rsid w:val="00FE4E99"/>
    <w:rsid w:val="00FE572F"/>
    <w:rsid w:val="00FE5CE0"/>
    <w:rsid w:val="00FE6028"/>
    <w:rsid w:val="00FE6151"/>
    <w:rsid w:val="00FE6469"/>
    <w:rsid w:val="00FE708C"/>
    <w:rsid w:val="00FE7D6D"/>
    <w:rsid w:val="00FE7DD5"/>
    <w:rsid w:val="00FF038D"/>
    <w:rsid w:val="00FF045C"/>
    <w:rsid w:val="00FF05A9"/>
    <w:rsid w:val="00FF0A08"/>
    <w:rsid w:val="00FF15C6"/>
    <w:rsid w:val="00FF167A"/>
    <w:rsid w:val="00FF1C3E"/>
    <w:rsid w:val="00FF1D4F"/>
    <w:rsid w:val="00FF222E"/>
    <w:rsid w:val="00FF2AF5"/>
    <w:rsid w:val="00FF3199"/>
    <w:rsid w:val="00FF31D7"/>
    <w:rsid w:val="00FF38EA"/>
    <w:rsid w:val="00FF5226"/>
    <w:rsid w:val="00FF523B"/>
    <w:rsid w:val="00FF53F2"/>
    <w:rsid w:val="00FF552F"/>
    <w:rsid w:val="00FF58F7"/>
    <w:rsid w:val="00FF5F4D"/>
    <w:rsid w:val="00FF6424"/>
    <w:rsid w:val="00FF67E4"/>
    <w:rsid w:val="00FF6957"/>
    <w:rsid w:val="00FF6A3B"/>
    <w:rsid w:val="00FF72EB"/>
    <w:rsid w:val="00FF73A3"/>
    <w:rsid w:val="00FF75E7"/>
    <w:rsid w:val="00FF7E35"/>
    <w:rsid w:val="00FF7F64"/>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B536"/>
  <w15:docId w15:val="{AD242738-F81D-4763-BF0B-25AD8118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color w:val="7030A0"/>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015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336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Resume Title"/>
    <w:basedOn w:val="Normal"/>
    <w:link w:val="ListParagraphChar"/>
    <w:uiPriority w:val="34"/>
    <w:qFormat/>
    <w:rsid w:val="00431F82"/>
    <w:pPr>
      <w:spacing w:after="100" w:afterAutospacing="1" w:line="240" w:lineRule="auto"/>
      <w:ind w:left="720"/>
      <w:contextualSpacing/>
    </w:pPr>
    <w:rPr>
      <w:rFonts w:ascii="Calibri" w:eastAsia="Calibri" w:hAnsi="Calibri" w:cs="Times New Roman"/>
      <w:color w:val="auto"/>
    </w:rPr>
  </w:style>
  <w:style w:type="paragraph" w:styleId="Header">
    <w:name w:val="header"/>
    <w:basedOn w:val="Normal"/>
    <w:link w:val="HeaderChar"/>
    <w:rsid w:val="000F2A3C"/>
    <w:pPr>
      <w:tabs>
        <w:tab w:val="center" w:pos="4320"/>
        <w:tab w:val="right" w:pos="8640"/>
      </w:tabs>
      <w:spacing w:after="0" w:line="240" w:lineRule="auto"/>
    </w:pPr>
    <w:rPr>
      <w:rFonts w:ascii="Times New Roman" w:eastAsia="Times New Roman" w:hAnsi="Times New Roman" w:cs="Times New Roman"/>
      <w:color w:val="auto"/>
      <w:sz w:val="20"/>
      <w:szCs w:val="20"/>
    </w:rPr>
  </w:style>
  <w:style w:type="character" w:customStyle="1" w:styleId="HeaderChar">
    <w:name w:val="Header Char"/>
    <w:basedOn w:val="DefaultParagraphFont"/>
    <w:link w:val="Header"/>
    <w:rsid w:val="000F2A3C"/>
    <w:rPr>
      <w:rFonts w:ascii="Times New Roman" w:eastAsia="Times New Roman" w:hAnsi="Times New Roman" w:cs="Times New Roman"/>
      <w:color w:val="auto"/>
      <w:sz w:val="20"/>
      <w:szCs w:val="20"/>
    </w:rPr>
  </w:style>
  <w:style w:type="paragraph" w:styleId="Footer">
    <w:name w:val="footer"/>
    <w:basedOn w:val="Normal"/>
    <w:link w:val="FooterChar"/>
    <w:uiPriority w:val="99"/>
    <w:unhideWhenUsed/>
    <w:rsid w:val="003E31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1E0"/>
  </w:style>
  <w:style w:type="character" w:customStyle="1" w:styleId="ListParagraphChar">
    <w:name w:val="List Paragraph Char"/>
    <w:aliases w:val="Resume Title Char"/>
    <w:link w:val="ListParagraph"/>
    <w:uiPriority w:val="34"/>
    <w:locked/>
    <w:rsid w:val="006655A8"/>
    <w:rPr>
      <w:rFonts w:ascii="Calibri" w:eastAsia="Calibri" w:hAnsi="Calibri" w:cs="Times New Roman"/>
      <w:color w:val="auto"/>
    </w:rPr>
  </w:style>
  <w:style w:type="numbering" w:customStyle="1" w:styleId="Style1">
    <w:name w:val="Style1"/>
    <w:uiPriority w:val="99"/>
    <w:rsid w:val="004C78EA"/>
    <w:pPr>
      <w:numPr>
        <w:numId w:val="29"/>
      </w:numPr>
    </w:pPr>
  </w:style>
  <w:style w:type="paragraph" w:styleId="BodyText">
    <w:name w:val="Body Text"/>
    <w:basedOn w:val="Normal"/>
    <w:link w:val="BodyTextChar"/>
    <w:uiPriority w:val="99"/>
    <w:rsid w:val="00EF2974"/>
    <w:pPr>
      <w:spacing w:after="0" w:line="240" w:lineRule="auto"/>
    </w:pPr>
    <w:rPr>
      <w:rFonts w:eastAsia="Times New Roman" w:cs="Times New Roman"/>
      <w:b/>
      <w:color w:val="auto"/>
      <w:szCs w:val="20"/>
    </w:rPr>
  </w:style>
  <w:style w:type="character" w:customStyle="1" w:styleId="BodyTextChar">
    <w:name w:val="Body Text Char"/>
    <w:basedOn w:val="DefaultParagraphFont"/>
    <w:link w:val="BodyText"/>
    <w:uiPriority w:val="99"/>
    <w:rsid w:val="00EF2974"/>
    <w:rPr>
      <w:rFonts w:eastAsia="Times New Roman" w:cs="Times New Roman"/>
      <w:b/>
      <w:color w:val="auto"/>
      <w:szCs w:val="20"/>
    </w:rPr>
  </w:style>
  <w:style w:type="paragraph" w:styleId="NoSpacing">
    <w:name w:val="No Spacing"/>
    <w:uiPriority w:val="1"/>
    <w:qFormat/>
    <w:rsid w:val="000A4668"/>
    <w:pPr>
      <w:spacing w:after="0" w:line="240" w:lineRule="auto"/>
    </w:pPr>
    <w:rPr>
      <w:rFonts w:ascii="Calibri" w:eastAsia="Calibri" w:hAnsi="Calibri" w:cs="Times New Roman"/>
      <w:color w:val="auto"/>
    </w:rPr>
  </w:style>
  <w:style w:type="paragraph" w:styleId="BodyTextIndent3">
    <w:name w:val="Body Text Indent 3"/>
    <w:basedOn w:val="Normal"/>
    <w:link w:val="BodyTextIndent3Char"/>
    <w:uiPriority w:val="99"/>
    <w:semiHidden/>
    <w:unhideWhenUsed/>
    <w:rsid w:val="00673C2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3C27"/>
    <w:rPr>
      <w:sz w:val="16"/>
      <w:szCs w:val="16"/>
    </w:rPr>
  </w:style>
  <w:style w:type="paragraph" w:styleId="BalloonText">
    <w:name w:val="Balloon Text"/>
    <w:basedOn w:val="Normal"/>
    <w:link w:val="BalloonTextChar"/>
    <w:uiPriority w:val="99"/>
    <w:semiHidden/>
    <w:unhideWhenUsed/>
    <w:rsid w:val="00683B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B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87CCA-03F0-4565-BC04-3198C7C45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6</Pages>
  <Words>2259</Words>
  <Characters>12878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COA</dc:creator>
  <cp:lastModifiedBy>coa</cp:lastModifiedBy>
  <cp:revision>106</cp:revision>
  <cp:lastPrinted>2017-06-03T02:31:00Z</cp:lastPrinted>
  <dcterms:created xsi:type="dcterms:W3CDTF">2015-08-19T04:15:00Z</dcterms:created>
  <dcterms:modified xsi:type="dcterms:W3CDTF">2017-06-03T02:34:00Z</dcterms:modified>
</cp:coreProperties>
</file>